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adaptor for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Pole mount adaptor</w:t>
      </w:r>
    </w:p>
    <w:p>
      <w:pPr>
        <w:pStyle w:val="p2Style"/>
      </w:pPr>
      <w:r>
        <w:rPr>
          <w:rStyle w:val="textStyle"/>
        </w:rPr>
        <w:t xml:space="preserve">For eneo Candid series and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Rugged steel construction</w:t>
      </w:r>
    </w:p>
    <w:p>
      <w:pPr>
        <w:pStyle w:val="p2Style"/>
      </w:pPr>
      <w:r>
        <w:rPr>
          <w:rStyle w:val="textStyle"/>
        </w:rPr>
        <w:t xml:space="preserve">Fixation with 2 flexible steel ties</w:t>
      </w:r>
    </w:p>
    <w:p>
      <w:pPr>
        <w:pStyle w:val="p2Style"/>
      </w:pPr>
      <w:r>
        <w:rPr>
          <w:rStyle w:val="textStyle"/>
        </w:rPr>
        <w:t xml:space="preserve">Colour: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2026-06-23T05:49:51+00:00</dcterms:created>
  <dcterms:modified xsi:type="dcterms:W3CDTF">2026-06-23T05:49:51+00:00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