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Specifications 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Article number</w:t>
      </w:r>
    </w:p>
    <w:p>
      <w:pPr>
        <w:pStyle w:val="p2Style"/>
      </w:pPr>
      <w:r>
        <w:rPr>
          <w:rStyle w:val="textStyle"/>
        </w:rPr>
        <w:t xml:space="preserve">220082</w:t>
      </w:r>
    </w:p>
    <w:p>
      <w:pPr>
        <w:pStyle w:val="p2Style"/>
      </w:pPr>
      <w:r>
        <w:rPr>
          <w:rStyle w:val="head2Style"/>
        </w:rPr>
        <w:t xml:space="preserve"/>
      </w:r>
    </w:p>
    <w:p>
      <w:pPr>
        <w:pStyle w:val="p2Style"/>
      </w:pPr>
      <w:r>
        <w:rPr>
          <w:rStyle w:val="head2Style"/>
        </w:rPr>
        <w:t xml:space="preserve">Type</w:t>
      </w:r>
    </w:p>
    <w:p>
      <w:pPr>
        <w:pStyle w:val="p2Style"/>
      </w:pPr>
      <w:r>
        <w:rPr>
          <w:rStyle w:val="textStyle"/>
        </w:rPr>
        <w:t xml:space="preserve">IEB-72M2812MAA</w:t>
      </w:r>
    </w:p>
    <w:p>
      <w:pPr>
        <w:pStyle w:val="p2Style"/>
      </w:pPr>
      <w:r>
        <w:rPr>
          <w:rStyle w:val="head2Style"/>
        </w:rPr>
        <w:t xml:space="preserve"/>
      </w:r>
    </w:p>
    <w:p>
      <w:pPr>
        <w:pStyle w:val="p2Style"/>
      </w:pPr>
      <w:r>
        <w:rPr>
          <w:rStyle w:val="head2Style"/>
        </w:rPr>
        <w:t xml:space="preserve">Short description</w:t>
      </w:r>
    </w:p>
    <w:p>
      <w:pPr>
        <w:pStyle w:val="p2Style"/>
      </w:pPr>
      <w:r>
        <w:rPr>
          <w:rStyle w:val="textStyle"/>
        </w:rPr>
        <w:t xml:space="preserve">1/2.8" Network Camera, 1920x1080, Day&amp;Night, WDR, 2,8-12mm, Infrared, IP66</w:t>
      </w:r>
    </w:p>
    <w:p>
      <w:pPr>
        <w:pStyle w:val="p2Style"/>
      </w:pPr>
      <w:r>
        <w:rPr>
          <w:rStyle w:val="head2Style"/>
        </w:rPr>
        <w:t xml:space="preserve"/>
      </w:r>
    </w:p>
    <w:p>
      <w:pPr>
        <w:pStyle w:val="p2Style"/>
      </w:pPr>
      <w:r>
        <w:rPr>
          <w:rStyle w:val="head2Style"/>
        </w:rPr>
        <w:t xml:space="preserve">Main Features</w:t>
      </w:r>
    </w:p>
    <w:p>
      <w:pPr>
        <w:pStyle w:val="p2Style"/>
      </w:pPr>
      <w:r>
        <w:rPr>
          <w:rStyle w:val="textStyle"/>
        </w:rPr>
        <w:t xml:space="preserve">1/2,8" Sony STARVIS CMOS</w:t>
      </w:r>
    </w:p>
    <w:p>
      <w:pPr>
        <w:pStyle w:val="p2Style"/>
      </w:pPr>
      <w:r>
        <w:rPr>
          <w:rStyle w:val="textStyle"/>
        </w:rPr>
        <w:t xml:space="preserve">Resolution max. 1920x1080, 25fps frame rate</w:t>
      </w:r>
    </w:p>
    <w:p>
      <w:pPr>
        <w:pStyle w:val="p2Style"/>
      </w:pPr>
      <w:r>
        <w:rPr>
          <w:rStyle w:val="textStyle"/>
        </w:rPr>
        <w:t xml:space="preserve">Motorised vary focal lens 2,8~12mm with P-Iris</w:t>
      </w:r>
    </w:p>
    <w:p>
      <w:pPr>
        <w:pStyle w:val="p2Style"/>
      </w:pPr>
      <w:r>
        <w:rPr>
          <w:rStyle w:val="textStyle"/>
        </w:rPr>
        <w:t xml:space="preserve">Intelligent self learning video analysis (IntelliVision inside)</w:t>
      </w:r>
    </w:p>
    <w:p>
      <w:pPr>
        <w:pStyle w:val="p2Style"/>
      </w:pPr>
      <w:r>
        <w:rPr>
          <w:rStyle w:val="textStyle"/>
        </w:rPr>
        <w:t xml:space="preserve">Wide Dynamic Range, T-WDR (120dB)</w:t>
      </w:r>
    </w:p>
    <w:p>
      <w:pPr>
        <w:pStyle w:val="p2Style"/>
      </w:pPr>
      <w:r>
        <w:rPr>
          <w:rStyle w:val="textStyle"/>
        </w:rPr>
        <w:t xml:space="preserve">Quad Streaming: H.264, H.265 x3, MJPEG x1, Smart Codec ROI Hi-Stream</w:t>
      </w:r>
    </w:p>
    <w:p>
      <w:pPr>
        <w:pStyle w:val="p2Style"/>
      </w:pPr>
      <w:r>
        <w:rPr>
          <w:rStyle w:val="textStyle"/>
        </w:rPr>
        <w:t xml:space="preserve">Micro SD Card (SDHC, SDXC)</w:t>
      </w:r>
    </w:p>
    <w:p>
      <w:pPr>
        <w:pStyle w:val="p2Style"/>
      </w:pPr>
      <w:r>
        <w:rPr>
          <w:rStyle w:val="textStyle"/>
        </w:rPr>
        <w:t xml:space="preserve">1 x Alarm in and output as well as audio support</w:t>
      </w:r>
    </w:p>
    <w:p>
      <w:pPr>
        <w:pStyle w:val="p2Style"/>
      </w:pPr>
      <w:r>
        <w:rPr>
          <w:rStyle w:val="textStyle"/>
        </w:rPr>
        <w:t xml:space="preserve">Infrared illumination up to 30m</w:t>
      </w:r>
    </w:p>
    <w:p>
      <w:pPr>
        <w:pStyle w:val="p2Style"/>
      </w:pPr>
      <w:r>
        <w:rPr>
          <w:rStyle w:val="textStyle"/>
        </w:rPr>
        <w:t xml:space="preserve">Easy installation, IP66</w:t>
      </w:r>
    </w:p>
    <w:p>
      <w:pPr>
        <w:pStyle w:val="p2Style"/>
      </w:pPr>
      <w:r>
        <w:rPr>
          <w:rStyle w:val="textStyle"/>
        </w:rPr>
        <w:t xml:space="preserve">PoE IEEE 802.3af Class 0, 12VDC</w:t>
      </w:r>
    </w:p>
    <w:p>
      <w:pPr>
        <w:pStyle w:val="p2Style"/>
      </w:pPr>
      <w:r>
        <w:rPr>
          <w:rStyle w:val="textStyle"/>
        </w:rPr>
        <w:t xml:space="preserve">Supports ONVIF Profile S und Profile T</w:t>
      </w:r>
    </w:p>
    <w:p>
      <w:pPr>
        <w:pStyle w:val="p2Style"/>
      </w:pPr>
      <w:r>
        <w:rPr>
          <w:rStyle w:val="head2Style"/>
        </w:rPr>
        <w:t xml:space="preserve"/>
      </w:r>
    </w:p>
    <w:p>
      <w:pPr>
        <w:pStyle w:val="p2Style"/>
      </w:pPr>
      <w:r>
        <w:rPr>
          <w:rStyle w:val="head2Style"/>
        </w:rPr>
        <w:t xml:space="preserve">Other Features (Specifications)</w:t>
      </w:r>
    </w:p>
    <w:tbl>
      <w:tblPr>
        <w:tblStyle w:val="specifications"/>
      </w:tblPr>
      <w:tr>
        <w:tc>
          <w:tcPr>
            <w:tcW w:w="4500" w:type="dxa"/>
            <w:vAlign w:val="top"/>
          </w:tcPr>
          <w:p>
            <w:pPr>
              <w:spacing w:after="10"/>
            </w:pPr>
            <w:r>
              <w:rPr>
                <w:rStyle w:val=""/>
              </w:rPr>
              <w:t xml:space="preserve">Dimensions (HxWxD)</w:t>
            </w:r>
          </w:p>
        </w:tc>
        <w:tc>
          <w:tcPr>
            <w:tcW w:w="4500" w:type="dxa"/>
            <w:vAlign w:val="top"/>
          </w:tcPr>
          <w:p>
            <w:pPr>
              <w:spacing w:after="10"/>
            </w:pPr>
            <w:r>
              <w:rPr>
                <w:rStyle w:val=""/>
              </w:rPr>
              <w:t xml:space="preserve">86x90x279mm</w:t>
            </w:r>
          </w:p>
        </w:tc>
      </w:tr>
      <w:tr>
        <w:tc>
          <w:tcPr>
            <w:tcW w:w="4500" w:type="dxa"/>
            <w:vAlign w:val="top"/>
          </w:tcPr>
          <w:p>
            <w:pPr>
              <w:spacing w:after="10"/>
            </w:pPr>
            <w:r>
              <w:rPr>
                <w:rStyle w:val=""/>
              </w:rPr>
              <w:t xml:space="preserve">Series</w:t>
            </w:r>
          </w:p>
        </w:tc>
        <w:tc>
          <w:tcPr>
            <w:tcW w:w="4500" w:type="dxa"/>
            <w:vAlign w:val="top"/>
          </w:tcPr>
          <w:p>
            <w:pPr>
              <w:spacing w:after="10"/>
            </w:pPr>
            <w:r>
              <w:rPr>
                <w:rStyle w:val=""/>
              </w:rPr>
              <w:t xml:space="preserve">eneo SN-Series</w:t>
            </w:r>
          </w:p>
        </w:tc>
      </w:tr>
      <w:tr>
        <w:tc>
          <w:tcPr>
            <w:tcW w:w="4500" w:type="dxa"/>
            <w:vAlign w:val="top"/>
          </w:tcPr>
          <w:p>
            <w:pPr>
              <w:spacing w:after="10"/>
            </w:pPr>
            <w:r>
              <w:rPr>
                <w:rStyle w:val=""/>
              </w:rPr>
              <w:t xml:space="preserve">Resolution Standard</w:t>
            </w:r>
          </w:p>
        </w:tc>
        <w:tc>
          <w:tcPr>
            <w:tcW w:w="4500" w:type="dxa"/>
            <w:vAlign w:val="top"/>
          </w:tcPr>
          <w:p>
            <w:pPr>
              <w:spacing w:after="10"/>
            </w:pPr>
            <w:r>
              <w:rPr>
                <w:rStyle w:val=""/>
              </w:rPr>
              <w:t xml:space="preserve">HD 1080p</w:t>
            </w:r>
          </w:p>
        </w:tc>
      </w:tr>
      <w:tr>
        <w:tc>
          <w:tcPr>
            <w:tcW w:w="4500" w:type="dxa"/>
            <w:vAlign w:val="top"/>
          </w:tcPr>
          <w:p>
            <w:pPr>
              <w:spacing w:after="10"/>
            </w:pPr>
            <w:r>
              <w:rPr>
                <w:rStyle w:val=""/>
              </w:rPr>
              <w:t xml:space="preserve">System</w:t>
            </w:r>
          </w:p>
        </w:tc>
        <w:tc>
          <w:tcPr>
            <w:tcW w:w="4500" w:type="dxa"/>
            <w:vAlign w:val="top"/>
          </w:tcPr>
          <w:p>
            <w:pPr>
              <w:spacing w:after="10"/>
            </w:pPr>
            <w:r>
              <w:rPr>
                <w:rStyle w:val=""/>
              </w:rPr>
              <w:t xml:space="preserve">True Day&amp;Night</w:t>
            </w:r>
          </w:p>
        </w:tc>
      </w:tr>
      <w:tr>
        <w:tc>
          <w:tcPr>
            <w:tcW w:w="4500" w:type="dxa"/>
            <w:vAlign w:val="top"/>
          </w:tcPr>
          <w:p>
            <w:pPr>
              <w:spacing w:after="10"/>
            </w:pPr>
            <w:r>
              <w:rPr>
                <w:rStyle w:val=""/>
              </w:rPr>
              <w:t xml:space="preserve">Sensor size</w:t>
            </w:r>
          </w:p>
        </w:tc>
        <w:tc>
          <w:tcPr>
            <w:tcW w:w="4500" w:type="dxa"/>
            <w:vAlign w:val="top"/>
          </w:tcPr>
          <w:p>
            <w:pPr>
              <w:spacing w:after="10"/>
            </w:pPr>
            <w:r>
              <w:rPr>
                <w:rStyle w:val=""/>
              </w:rPr>
              <w:t xml:space="preserve">1/2.8"</w:t>
            </w:r>
          </w:p>
        </w:tc>
      </w:tr>
      <w:tr>
        <w:tc>
          <w:tcPr>
            <w:tcW w:w="4500" w:type="dxa"/>
            <w:vAlign w:val="top"/>
          </w:tcPr>
          <w:p>
            <w:pPr>
              <w:spacing w:after="10"/>
            </w:pPr>
            <w:r>
              <w:rPr>
                <w:rStyle w:val=""/>
              </w:rPr>
              <w:t xml:space="preserve">Imager</w:t>
            </w:r>
          </w:p>
        </w:tc>
        <w:tc>
          <w:tcPr>
            <w:tcW w:w="4500" w:type="dxa"/>
            <w:vAlign w:val="top"/>
          </w:tcPr>
          <w:p>
            <w:pPr>
              <w:spacing w:after="10"/>
            </w:pPr>
            <w:r>
              <w:rPr>
                <w:rStyle w:val=""/>
              </w:rPr>
              <w:t xml:space="preserve">CMOS</w:t>
            </w:r>
          </w:p>
        </w:tc>
      </w:tr>
      <w:tr>
        <w:tc>
          <w:tcPr>
            <w:tcW w:w="4500" w:type="dxa"/>
            <w:vAlign w:val="top"/>
          </w:tcPr>
          <w:p>
            <w:pPr>
              <w:spacing w:after="10"/>
            </w:pPr>
            <w:r>
              <w:rPr>
                <w:rStyle w:val=""/>
              </w:rPr>
              <w:t xml:space="preserve">Video compression</w:t>
            </w:r>
          </w:p>
        </w:tc>
        <w:tc>
          <w:tcPr>
            <w:tcW w:w="4500" w:type="dxa"/>
            <w:vAlign w:val="top"/>
          </w:tcPr>
          <w:p>
            <w:pPr>
              <w:spacing w:after="10"/>
            </w:pPr>
            <w:r>
              <w:rPr>
                <w:rStyle w:val=""/>
              </w:rPr>
              <w:t xml:space="preserve">H.264, H.264+ (Smart Stream), H.265, H.265+ (Smart Stream), M-JPEG</w:t>
            </w:r>
          </w:p>
        </w:tc>
      </w:tr>
      <w:tr>
        <w:tc>
          <w:tcPr>
            <w:tcW w:w="4500" w:type="dxa"/>
            <w:vAlign w:val="top"/>
          </w:tcPr>
          <w:p>
            <w:pPr>
              <w:spacing w:after="10"/>
            </w:pPr>
            <w:r>
              <w:rPr>
                <w:rStyle w:val=""/>
              </w:rPr>
              <w:t xml:space="preserve">Image resolution max.</w:t>
            </w:r>
          </w:p>
        </w:tc>
        <w:tc>
          <w:tcPr>
            <w:tcW w:w="4500" w:type="dxa"/>
            <w:vAlign w:val="top"/>
          </w:tcPr>
          <w:p>
            <w:pPr>
              <w:spacing w:after="10"/>
            </w:pPr>
            <w:r>
              <w:rPr>
                <w:rStyle w:val=""/>
              </w:rPr>
              <w:t xml:space="preserve">1920x1080</w:t>
            </w:r>
          </w:p>
        </w:tc>
      </w:tr>
      <w:tr>
        <w:tc>
          <w:tcPr>
            <w:tcW w:w="4500" w:type="dxa"/>
            <w:vAlign w:val="top"/>
          </w:tcPr>
          <w:p>
            <w:pPr>
              <w:spacing w:after="10"/>
            </w:pPr>
            <w:r>
              <w:rPr>
                <w:rStyle w:val=""/>
              </w:rPr>
              <w:t xml:space="preserve">Image Transmission Rate</w:t>
            </w:r>
          </w:p>
        </w:tc>
        <w:tc>
          <w:tcPr>
            <w:tcW w:w="4500" w:type="dxa"/>
            <w:vAlign w:val="top"/>
          </w:tcPr>
          <w:p>
            <w:pPr>
              <w:spacing w:after="10"/>
            </w:pPr>
            <w:r>
              <w:rPr>
                <w:rStyle w:val=""/>
              </w:rPr>
              <w:t xml:space="preserve">30 fps</w:t>
            </w:r>
          </w:p>
        </w:tc>
      </w:tr>
      <w:tr>
        <w:tc>
          <w:tcPr>
            <w:tcW w:w="4500" w:type="dxa"/>
            <w:vAlign w:val="top"/>
          </w:tcPr>
          <w:p>
            <w:pPr>
              <w:spacing w:after="10"/>
            </w:pPr>
            <w:r>
              <w:rPr>
                <w:rStyle w:val=""/>
              </w:rPr>
              <w:t xml:space="preserve">Day&amp;Night switch</w:t>
            </w:r>
          </w:p>
        </w:tc>
        <w:tc>
          <w:tcPr>
            <w:tcW w:w="4500" w:type="dxa"/>
            <w:vAlign w:val="top"/>
          </w:tcPr>
          <w:p>
            <w:pPr>
              <w:spacing w:after="10"/>
            </w:pPr>
            <w:r>
              <w:rPr>
                <w:rStyle w:val=""/>
              </w:rPr>
              <w:t xml:space="preserve">ICR</w:t>
            </w:r>
          </w:p>
        </w:tc>
      </w:tr>
      <w:tr>
        <w:tc>
          <w:tcPr>
            <w:tcW w:w="4500" w:type="dxa"/>
            <w:vAlign w:val="top"/>
          </w:tcPr>
          <w:p>
            <w:pPr>
              <w:spacing w:after="10"/>
            </w:pPr>
            <w:r>
              <w:rPr>
                <w:rStyle w:val=""/>
              </w:rPr>
              <w:t xml:space="preserve">Sensitivity</w:t>
            </w:r>
          </w:p>
        </w:tc>
        <w:tc>
          <w:tcPr>
            <w:tcW w:w="4500" w:type="dxa"/>
            <w:vAlign w:val="top"/>
          </w:tcPr>
          <w:p>
            <w:pPr>
              <w:spacing w:after="10"/>
            </w:pPr>
            <w:r>
              <w:rPr>
                <w:rStyle w:val=""/>
              </w:rPr>
              <w:t xml:space="preserve">0,03 Lux at F1,6, 40 IRE</w:t>
            </w:r>
          </w:p>
        </w:tc>
      </w:tr>
      <w:tr>
        <w:tc>
          <w:tcPr>
            <w:tcW w:w="4500" w:type="dxa"/>
            <w:vAlign w:val="top"/>
          </w:tcPr>
          <w:p>
            <w:pPr>
              <w:spacing w:after="10"/>
            </w:pPr>
            <w:r>
              <w:rPr>
                <w:rStyle w:val=""/>
              </w:rPr>
              <w:t xml:space="preserve">Low Speed Shutter</w:t>
            </w:r>
          </w:p>
        </w:tc>
        <w:tc>
          <w:tcPr>
            <w:tcW w:w="4500" w:type="dxa"/>
            <w:vAlign w:val="top"/>
          </w:tcPr>
          <w:p>
            <w:pPr>
              <w:spacing w:after="10"/>
            </w:pPr>
            <w:r>
              <w:rPr>
                <w:rStyle w:val=""/>
              </w:rPr>
              <w:t xml:space="preserve">yes</w:t>
            </w:r>
          </w:p>
        </w:tc>
      </w:tr>
      <w:tr>
        <w:tc>
          <w:tcPr>
            <w:tcW w:w="4500" w:type="dxa"/>
            <w:vAlign w:val="top"/>
          </w:tcPr>
          <w:p>
            <w:pPr>
              <w:spacing w:after="10"/>
            </w:pPr>
            <w:r>
              <w:rPr>
                <w:rStyle w:val=""/>
              </w:rPr>
              <w:t xml:space="preserve">Digital Noise Reduction</w:t>
            </w:r>
          </w:p>
        </w:tc>
        <w:tc>
          <w:tcPr>
            <w:tcW w:w="4500" w:type="dxa"/>
            <w:vAlign w:val="top"/>
          </w:tcPr>
          <w:p>
            <w:pPr>
              <w:spacing w:after="10"/>
            </w:pPr>
            <w:r>
              <w:rPr>
                <w:rStyle w:val=""/>
              </w:rPr>
              <w:t xml:space="preserve">yes</w:t>
            </w:r>
          </w:p>
        </w:tc>
      </w:tr>
      <w:tr>
        <w:tc>
          <w:tcPr>
            <w:tcW w:w="4500" w:type="dxa"/>
            <w:vAlign w:val="top"/>
          </w:tcPr>
          <w:p>
            <w:pPr>
              <w:spacing w:after="10"/>
            </w:pPr>
            <w:r>
              <w:rPr>
                <w:rStyle w:val=""/>
              </w:rPr>
              <w:t xml:space="preserve">Backlight Compensation</w:t>
            </w:r>
          </w:p>
        </w:tc>
        <w:tc>
          <w:tcPr>
            <w:tcW w:w="4500" w:type="dxa"/>
            <w:vAlign w:val="top"/>
          </w:tcPr>
          <w:p>
            <w:pPr>
              <w:spacing w:after="10"/>
            </w:pPr>
            <w:r>
              <w:rPr>
                <w:rStyle w:val=""/>
              </w:rPr>
              <w:t xml:space="preserve">BLC</w:t>
            </w:r>
          </w:p>
        </w:tc>
      </w:tr>
      <w:tr>
        <w:tc>
          <w:tcPr>
            <w:tcW w:w="4500" w:type="dxa"/>
            <w:vAlign w:val="top"/>
          </w:tcPr>
          <w:p>
            <w:pPr>
              <w:spacing w:after="10"/>
            </w:pPr>
            <w:r>
              <w:rPr>
                <w:rStyle w:val=""/>
              </w:rPr>
              <w:t xml:space="preserve">Wide Dynamic Range (WDR)</w:t>
            </w:r>
          </w:p>
        </w:tc>
        <w:tc>
          <w:tcPr>
            <w:tcW w:w="4500" w:type="dxa"/>
            <w:vAlign w:val="top"/>
          </w:tcPr>
          <w:p>
            <w:pPr>
              <w:spacing w:after="10"/>
            </w:pPr>
            <w:r>
              <w:rPr>
                <w:rStyle w:val=""/>
              </w:rPr>
              <w:t xml:space="preserve">WDR 120dB</w:t>
            </w:r>
          </w:p>
        </w:tc>
      </w:tr>
      <w:tr>
        <w:tc>
          <w:tcPr>
            <w:tcW w:w="4500" w:type="dxa"/>
            <w:vAlign w:val="top"/>
          </w:tcPr>
          <w:p>
            <w:pPr>
              <w:spacing w:after="10"/>
            </w:pPr>
            <w:r>
              <w:rPr>
                <w:rStyle w:val=""/>
              </w:rPr>
              <w:t xml:space="preserve">Motion Detector</w:t>
            </w:r>
          </w:p>
        </w:tc>
        <w:tc>
          <w:tcPr>
            <w:tcW w:w="4500" w:type="dxa"/>
            <w:vAlign w:val="top"/>
          </w:tcPr>
          <w:p>
            <w:pPr>
              <w:spacing w:after="10"/>
            </w:pPr>
            <w:r>
              <w:rPr>
                <w:rStyle w:val=""/>
              </w:rPr>
              <w:t xml:space="preserve">yes</w:t>
            </w:r>
          </w:p>
        </w:tc>
      </w:tr>
      <w:tr>
        <w:tc>
          <w:tcPr>
            <w:tcW w:w="4500" w:type="dxa"/>
            <w:vAlign w:val="top"/>
          </w:tcPr>
          <w:p>
            <w:pPr>
              <w:spacing w:after="10"/>
            </w:pPr>
            <w:r>
              <w:rPr>
                <w:rStyle w:val=""/>
              </w:rPr>
              <w:t xml:space="preserve">Lens Type</w:t>
            </w:r>
          </w:p>
        </w:tc>
        <w:tc>
          <w:tcPr>
            <w:tcW w:w="4500" w:type="dxa"/>
            <w:vAlign w:val="top"/>
          </w:tcPr>
          <w:p>
            <w:pPr>
              <w:spacing w:after="10"/>
            </w:pPr>
            <w:r>
              <w:rPr>
                <w:rStyle w:val=""/>
              </w:rPr>
              <w:t xml:space="preserve">Varifocal (motorized)</w:t>
            </w:r>
          </w:p>
        </w:tc>
      </w:tr>
      <w:tr>
        <w:tc>
          <w:tcPr>
            <w:tcW w:w="4500" w:type="dxa"/>
            <w:vAlign w:val="top"/>
          </w:tcPr>
          <w:p>
            <w:pPr>
              <w:spacing w:after="10"/>
            </w:pPr>
            <w:r>
              <w:rPr>
                <w:rStyle w:val=""/>
              </w:rPr>
              <w:t xml:space="preserve">Lens Type</w:t>
            </w:r>
          </w:p>
        </w:tc>
        <w:tc>
          <w:tcPr>
            <w:tcW w:w="4500" w:type="dxa"/>
            <w:vAlign w:val="top"/>
          </w:tcPr>
          <w:p>
            <w:pPr>
              <w:spacing w:after="10"/>
            </w:pPr>
            <w:r>
              <w:rPr>
                <w:rStyle w:val=""/>
              </w:rPr>
              <w:t xml:space="preserve">Varifocal (motorized)</w:t>
            </w:r>
          </w:p>
        </w:tc>
      </w:tr>
      <w:tr>
        <w:tc>
          <w:tcPr>
            <w:tcW w:w="4500" w:type="dxa"/>
            <w:vAlign w:val="top"/>
          </w:tcPr>
          <w:p>
            <w:pPr>
              <w:spacing w:after="10"/>
            </w:pPr>
            <w:r>
              <w:rPr>
                <w:rStyle w:val=""/>
              </w:rPr>
              <w:t xml:space="preserve">Focal Length</w:t>
            </w:r>
          </w:p>
        </w:tc>
        <w:tc>
          <w:tcPr>
            <w:tcW w:w="4500" w:type="dxa"/>
            <w:vAlign w:val="top"/>
          </w:tcPr>
          <w:p>
            <w:pPr>
              <w:spacing w:after="10"/>
            </w:pPr>
            <w:r>
              <w:rPr>
                <w:rStyle w:val=""/>
              </w:rPr>
              <w:t xml:space="preserve">2,8 - 12 mm</w:t>
            </w:r>
          </w:p>
        </w:tc>
      </w:tr>
      <w:tr>
        <w:tc>
          <w:tcPr>
            <w:tcW w:w="4500" w:type="dxa"/>
            <w:vAlign w:val="top"/>
          </w:tcPr>
          <w:p>
            <w:pPr>
              <w:spacing w:after="10"/>
            </w:pPr>
            <w:r>
              <w:rPr>
                <w:rStyle w:val=""/>
              </w:rPr>
              <w:t xml:space="preserve">Iris Control</w:t>
            </w:r>
          </w:p>
        </w:tc>
        <w:tc>
          <w:tcPr>
            <w:tcW w:w="4500" w:type="dxa"/>
            <w:vAlign w:val="top"/>
          </w:tcPr>
          <w:p>
            <w:pPr>
              <w:spacing w:after="10"/>
            </w:pPr>
            <w:r>
              <w:rPr>
                <w:rStyle w:val=""/>
              </w:rPr>
              <w:t xml:space="preserve">DC, P-iris</w:t>
            </w:r>
          </w:p>
        </w:tc>
      </w:tr>
      <w:tr>
        <w:tc>
          <w:tcPr>
            <w:tcW w:w="4500" w:type="dxa"/>
            <w:vAlign w:val="top"/>
          </w:tcPr>
          <w:p>
            <w:pPr>
              <w:spacing w:after="10"/>
            </w:pPr>
            <w:r>
              <w:rPr>
                <w:rStyle w:val=""/>
              </w:rPr>
              <w:t xml:space="preserve">Zoom Factor</w:t>
            </w:r>
          </w:p>
        </w:tc>
        <w:tc>
          <w:tcPr>
            <w:tcW w:w="4500" w:type="dxa"/>
            <w:vAlign w:val="top"/>
          </w:tcPr>
          <w:p>
            <w:pPr>
              <w:spacing w:after="10"/>
            </w:pPr>
            <w:r>
              <w:rPr>
                <w:rStyle w:val=""/>
              </w:rPr>
              <w:t xml:space="preserve">4x</w:t>
            </w:r>
          </w:p>
        </w:tc>
      </w:tr>
      <w:tr>
        <w:tc>
          <w:tcPr>
            <w:tcW w:w="4500" w:type="dxa"/>
            <w:vAlign w:val="top"/>
          </w:tcPr>
          <w:p>
            <w:pPr>
              <w:spacing w:after="10"/>
            </w:pPr>
            <w:r>
              <w:rPr>
                <w:rStyle w:val=""/>
              </w:rPr>
              <w:t xml:space="preserve">Digital Zoom</w:t>
            </w:r>
          </w:p>
        </w:tc>
        <w:tc>
          <w:tcPr>
            <w:tcW w:w="4500" w:type="dxa"/>
            <w:vAlign w:val="top"/>
          </w:tcPr>
          <w:p>
            <w:pPr>
              <w:spacing w:after="10"/>
            </w:pPr>
            <w:r>
              <w:rPr>
                <w:rStyle w:val=""/>
              </w:rPr>
              <w:t xml:space="preserve">yes</w:t>
            </w:r>
          </w:p>
        </w:tc>
      </w:tr>
      <w:tr>
        <w:tc>
          <w:tcPr>
            <w:tcW w:w="4500" w:type="dxa"/>
            <w:vAlign w:val="top"/>
          </w:tcPr>
          <w:p>
            <w:pPr>
              <w:spacing w:after="10"/>
            </w:pPr>
            <w:r>
              <w:rPr>
                <w:rStyle w:val=""/>
              </w:rPr>
              <w:t xml:space="preserve">Observe (62 px/m)</w:t>
            </w:r>
          </w:p>
        </w:tc>
        <w:tc>
          <w:tcPr>
            <w:tcW w:w="4500" w:type="dxa"/>
            <w:vAlign w:val="top"/>
          </w:tcPr>
          <w:p>
            <w:pPr>
              <w:spacing w:after="10"/>
            </w:pPr>
            <w:r>
              <w:rPr>
                <w:rStyle w:val=""/>
              </w:rPr>
              <w:t xml:space="preserve">16 - 55 m</w:t>
            </w:r>
          </w:p>
        </w:tc>
      </w:tr>
      <w:tr>
        <w:tc>
          <w:tcPr>
            <w:tcW w:w="4500" w:type="dxa"/>
            <w:vAlign w:val="top"/>
          </w:tcPr>
          <w:p>
            <w:pPr>
              <w:spacing w:after="10"/>
            </w:pPr>
            <w:r>
              <w:rPr>
                <w:rStyle w:val=""/>
              </w:rPr>
              <w:t xml:space="preserve">Recognize (125 px/m)</w:t>
            </w:r>
          </w:p>
        </w:tc>
        <w:tc>
          <w:tcPr>
            <w:tcW w:w="4500" w:type="dxa"/>
            <w:vAlign w:val="top"/>
          </w:tcPr>
          <w:p>
            <w:pPr>
              <w:spacing w:after="10"/>
            </w:pPr>
            <w:r>
              <w:rPr>
                <w:rStyle w:val=""/>
              </w:rPr>
              <w:t xml:space="preserve">8 - 26 m</w:t>
            </w:r>
          </w:p>
        </w:tc>
      </w:tr>
      <w:tr>
        <w:tc>
          <w:tcPr>
            <w:tcW w:w="4500" w:type="dxa"/>
            <w:vAlign w:val="top"/>
          </w:tcPr>
          <w:p>
            <w:pPr>
              <w:spacing w:after="10"/>
            </w:pPr>
            <w:r>
              <w:rPr>
                <w:rStyle w:val=""/>
              </w:rPr>
              <w:t xml:space="preserve">Identify (250 px/m)</w:t>
            </w:r>
          </w:p>
        </w:tc>
        <w:tc>
          <w:tcPr>
            <w:tcW w:w="4500" w:type="dxa"/>
            <w:vAlign w:val="top"/>
          </w:tcPr>
          <w:p>
            <w:pPr>
              <w:spacing w:after="10"/>
            </w:pPr>
            <w:r>
              <w:rPr>
                <w:rStyle w:val=""/>
              </w:rPr>
              <w:t xml:space="preserve">4 - 13 m</w:t>
            </w:r>
          </w:p>
        </w:tc>
      </w:tr>
      <w:tr>
        <w:tc>
          <w:tcPr>
            <w:tcW w:w="4500" w:type="dxa"/>
            <w:vAlign w:val="top"/>
          </w:tcPr>
          <w:p>
            <w:pPr>
              <w:spacing w:after="10"/>
            </w:pPr>
            <w:r>
              <w:rPr>
                <w:rStyle w:val=""/>
              </w:rPr>
              <w:t xml:space="preserve">Detect (25px/m)</w:t>
            </w:r>
          </w:p>
        </w:tc>
        <w:tc>
          <w:tcPr>
            <w:tcW w:w="4500" w:type="dxa"/>
            <w:vAlign w:val="top"/>
          </w:tcPr>
          <w:p>
            <w:pPr>
              <w:spacing w:after="10"/>
            </w:pPr>
            <w:r>
              <w:rPr>
                <w:rStyle w:val=""/>
              </w:rPr>
              <w:t xml:space="preserve">40 - 130 m</w:t>
            </w:r>
          </w:p>
        </w:tc>
      </w:tr>
      <w:tr>
        <w:tc>
          <w:tcPr>
            <w:tcW w:w="4500" w:type="dxa"/>
            <w:vAlign w:val="top"/>
          </w:tcPr>
          <w:p>
            <w:pPr>
              <w:spacing w:after="10"/>
            </w:pPr>
            <w:r>
              <w:rPr>
                <w:rStyle w:val=""/>
              </w:rPr>
              <w:t xml:space="preserve">Horizontal Angle of View</w:t>
            </w:r>
          </w:p>
        </w:tc>
        <w:tc>
          <w:tcPr>
            <w:tcW w:w="4500" w:type="dxa"/>
            <w:vAlign w:val="top"/>
          </w:tcPr>
          <w:p>
            <w:pPr>
              <w:spacing w:after="10"/>
            </w:pPr>
            <w:r>
              <w:rPr>
                <w:rStyle w:val=""/>
              </w:rPr>
              <w:t xml:space="preserve">100 - 33°</w:t>
            </w:r>
          </w:p>
        </w:tc>
      </w:tr>
      <w:tr>
        <w:tc>
          <w:tcPr>
            <w:tcW w:w="4500" w:type="dxa"/>
            <w:vAlign w:val="top"/>
          </w:tcPr>
          <w:p>
            <w:pPr>
              <w:spacing w:after="10"/>
            </w:pPr>
            <w:r>
              <w:rPr>
                <w:rStyle w:val=""/>
              </w:rPr>
              <w:t xml:space="preserve">Vertical Angle of View</w:t>
            </w:r>
          </w:p>
        </w:tc>
        <w:tc>
          <w:tcPr>
            <w:tcW w:w="4500" w:type="dxa"/>
            <w:vAlign w:val="top"/>
          </w:tcPr>
          <w:p>
            <w:pPr>
              <w:spacing w:after="10"/>
            </w:pPr>
            <w:r>
              <w:rPr>
                <w:rStyle w:val=""/>
              </w:rPr>
              <w:t xml:space="preserve">56 - 18°</w:t>
            </w:r>
          </w:p>
        </w:tc>
      </w:tr>
      <w:tr>
        <w:tc>
          <w:tcPr>
            <w:tcW w:w="4500" w:type="dxa"/>
            <w:vAlign w:val="top"/>
          </w:tcPr>
          <w:p>
            <w:pPr>
              <w:spacing w:after="10"/>
            </w:pPr>
            <w:r>
              <w:rPr>
                <w:rStyle w:val=""/>
              </w:rPr>
              <w:t xml:space="preserve">MOD (Mininum Object Distance)</w:t>
            </w:r>
          </w:p>
        </w:tc>
        <w:tc>
          <w:tcPr>
            <w:tcW w:w="4500" w:type="dxa"/>
            <w:vAlign w:val="top"/>
          </w:tcPr>
          <w:p>
            <w:pPr>
              <w:spacing w:after="10"/>
            </w:pPr>
            <w:r>
              <w:rPr>
                <w:rStyle w:val=""/>
              </w:rPr>
              <w:t xml:space="preserve">0,5 m</w:t>
            </w:r>
          </w:p>
        </w:tc>
      </w:tr>
      <w:tr>
        <w:tc>
          <w:tcPr>
            <w:tcW w:w="4500" w:type="dxa"/>
            <w:vAlign w:val="top"/>
          </w:tcPr>
          <w:p>
            <w:pPr>
              <w:spacing w:after="10"/>
            </w:pPr>
            <w:r>
              <w:rPr>
                <w:rStyle w:val=""/>
              </w:rPr>
              <w:t xml:space="preserve">llumination</w:t>
            </w:r>
          </w:p>
        </w:tc>
        <w:tc>
          <w:tcPr>
            <w:tcW w:w="4500" w:type="dxa"/>
            <w:vAlign w:val="top"/>
          </w:tcPr>
          <w:p>
            <w:pPr>
              <w:spacing w:after="10"/>
            </w:pPr>
            <w:r>
              <w:rPr>
                <w:rStyle w:val=""/>
              </w:rPr>
              <w:t xml:space="preserve">Infrared</w:t>
            </w:r>
          </w:p>
        </w:tc>
      </w:tr>
      <w:tr>
        <w:tc>
          <w:tcPr>
            <w:tcW w:w="4500" w:type="dxa"/>
            <w:vAlign w:val="top"/>
          </w:tcPr>
          <w:p>
            <w:pPr>
              <w:spacing w:after="10"/>
            </w:pPr>
            <w:r>
              <w:rPr>
                <w:rStyle w:val=""/>
              </w:rPr>
              <w:t xml:space="preserve">Housing</w:t>
            </w:r>
          </w:p>
        </w:tc>
        <w:tc>
          <w:tcPr>
            <w:tcW w:w="4500" w:type="dxa"/>
            <w:vAlign w:val="top"/>
          </w:tcPr>
          <w:p>
            <w:pPr>
              <w:spacing w:after="10"/>
            </w:pPr>
            <w:r>
              <w:rPr>
                <w:rStyle w:val=""/>
              </w:rPr>
              <w:t xml:space="preserve">Outdoor</w:t>
            </w:r>
          </w:p>
        </w:tc>
      </w:tr>
      <w:tr>
        <w:tc>
          <w:tcPr>
            <w:tcW w:w="4500" w:type="dxa"/>
            <w:vAlign w:val="top"/>
          </w:tcPr>
          <w:p>
            <w:pPr>
              <w:spacing w:after="10"/>
            </w:pPr>
            <w:r>
              <w:rPr>
                <w:rStyle w:val=""/>
              </w:rPr>
              <w:t xml:space="preserve">Color (housing)</w:t>
            </w:r>
          </w:p>
        </w:tc>
        <w:tc>
          <w:tcPr>
            <w:tcW w:w="4500" w:type="dxa"/>
            <w:vAlign w:val="top"/>
          </w:tcPr>
          <w:p>
            <w:pPr>
              <w:spacing w:after="10"/>
            </w:pPr>
            <w:r>
              <w:rPr>
                <w:rStyle w:val=""/>
              </w:rPr>
              <w:t xml:space="preserve">white</w:t>
            </w:r>
          </w:p>
        </w:tc>
      </w:tr>
      <w:tr>
        <w:tc>
          <w:tcPr>
            <w:tcW w:w="4500" w:type="dxa"/>
            <w:vAlign w:val="top"/>
          </w:tcPr>
          <w:p>
            <w:pPr>
              <w:spacing w:after="10"/>
            </w:pPr>
            <w:r>
              <w:rPr>
                <w:rStyle w:val=""/>
              </w:rPr>
              <w:t xml:space="preserve">Hosuing material</w:t>
            </w:r>
          </w:p>
        </w:tc>
        <w:tc>
          <w:tcPr>
            <w:tcW w:w="4500" w:type="dxa"/>
            <w:vAlign w:val="top"/>
          </w:tcPr>
          <w:p>
            <w:pPr>
              <w:spacing w:after="10"/>
            </w:pPr>
            <w:r>
              <w:rPr>
                <w:rStyle w:val=""/>
              </w:rPr>
              <w:t xml:space="preserve">Aluminium</w:t>
            </w:r>
          </w:p>
        </w:tc>
      </w:tr>
      <w:tr>
        <w:tc>
          <w:tcPr>
            <w:tcW w:w="4500" w:type="dxa"/>
            <w:vAlign w:val="top"/>
          </w:tcPr>
          <w:p>
            <w:pPr>
              <w:spacing w:after="10"/>
            </w:pPr>
            <w:r>
              <w:rPr>
                <w:rStyle w:val=""/>
              </w:rPr>
              <w:t xml:space="preserve">Blower</w:t>
            </w:r>
          </w:p>
        </w:tc>
        <w:tc>
          <w:tcPr>
            <w:tcW w:w="4500" w:type="dxa"/>
            <w:vAlign w:val="top"/>
          </w:tcPr>
          <w:p>
            <w:pPr>
              <w:spacing w:after="10"/>
            </w:pPr>
            <w:r>
              <w:rPr>
                <w:rStyle w:val=""/>
              </w:rPr>
              <w:t xml:space="preserve">no</w:t>
            </w:r>
          </w:p>
        </w:tc>
      </w:tr>
      <w:tr>
        <w:tc>
          <w:tcPr>
            <w:tcW w:w="4500" w:type="dxa"/>
            <w:vAlign w:val="top"/>
          </w:tcPr>
          <w:p>
            <w:pPr>
              <w:spacing w:after="10"/>
            </w:pPr>
            <w:r>
              <w:rPr>
                <w:rStyle w:val=""/>
              </w:rPr>
              <w:t xml:space="preserve">Video outputs</w:t>
            </w:r>
          </w:p>
        </w:tc>
        <w:tc>
          <w:tcPr>
            <w:tcW w:w="4500" w:type="dxa"/>
            <w:vAlign w:val="top"/>
          </w:tcPr>
          <w:p>
            <w:pPr>
              <w:spacing w:after="10"/>
            </w:pPr>
            <w:r>
              <w:rPr>
                <w:rStyle w:val=""/>
              </w:rPr>
              <w:t xml:space="preserve">no</w:t>
            </w:r>
          </w:p>
        </w:tc>
      </w:tr>
      <w:tr>
        <w:tc>
          <w:tcPr>
            <w:tcW w:w="4500" w:type="dxa"/>
            <w:vAlign w:val="top"/>
          </w:tcPr>
          <w:p>
            <w:pPr>
              <w:spacing w:after="10"/>
            </w:pPr>
            <w:r>
              <w:rPr>
                <w:rStyle w:val=""/>
              </w:rPr>
              <w:t xml:space="preserve">Alarm inputs</w:t>
            </w:r>
          </w:p>
        </w:tc>
        <w:tc>
          <w:tcPr>
            <w:tcW w:w="4500" w:type="dxa"/>
            <w:vAlign w:val="top"/>
          </w:tcPr>
          <w:p>
            <w:pPr>
              <w:spacing w:after="10"/>
            </w:pPr>
            <w:r>
              <w:rPr>
                <w:rStyle w:val=""/>
              </w:rPr>
              <w:t xml:space="preserve">1</w:t>
            </w:r>
          </w:p>
        </w:tc>
      </w:tr>
      <w:tr>
        <w:tc>
          <w:tcPr>
            <w:tcW w:w="4500" w:type="dxa"/>
            <w:vAlign w:val="top"/>
          </w:tcPr>
          <w:p>
            <w:pPr>
              <w:spacing w:after="10"/>
            </w:pPr>
            <w:r>
              <w:rPr>
                <w:rStyle w:val=""/>
              </w:rPr>
              <w:t xml:space="preserve">Alarm outputs</w:t>
            </w:r>
          </w:p>
        </w:tc>
        <w:tc>
          <w:tcPr>
            <w:tcW w:w="4500" w:type="dxa"/>
            <w:vAlign w:val="top"/>
          </w:tcPr>
          <w:p>
            <w:pPr>
              <w:spacing w:after="10"/>
            </w:pPr>
            <w:r>
              <w:rPr>
                <w:rStyle w:val=""/>
              </w:rPr>
              <w:t xml:space="preserve">1</w:t>
            </w:r>
          </w:p>
        </w:tc>
      </w:tr>
      <w:tr>
        <w:tc>
          <w:tcPr>
            <w:tcW w:w="4500" w:type="dxa"/>
            <w:vAlign w:val="top"/>
          </w:tcPr>
          <w:p>
            <w:pPr>
              <w:spacing w:after="10"/>
            </w:pPr>
            <w:r>
              <w:rPr>
                <w:rStyle w:val=""/>
              </w:rPr>
              <w:t xml:space="preserve">Audio support</w:t>
            </w:r>
          </w:p>
        </w:tc>
        <w:tc>
          <w:tcPr>
            <w:tcW w:w="4500" w:type="dxa"/>
            <w:vAlign w:val="top"/>
          </w:tcPr>
          <w:p>
            <w:pPr>
              <w:spacing w:after="10"/>
            </w:pPr>
            <w:r>
              <w:rPr>
                <w:rStyle w:val=""/>
              </w:rPr>
              <w:t xml:space="preserve">yes</w:t>
            </w:r>
          </w:p>
        </w:tc>
      </w:tr>
      <w:tr>
        <w:tc>
          <w:tcPr>
            <w:tcW w:w="4500" w:type="dxa"/>
            <w:vAlign w:val="top"/>
          </w:tcPr>
          <w:p>
            <w:pPr>
              <w:spacing w:after="10"/>
            </w:pPr>
            <w:r>
              <w:rPr>
                <w:rStyle w:val=""/>
              </w:rPr>
              <w:t xml:space="preserve">Ethernet interface</w:t>
            </w:r>
          </w:p>
        </w:tc>
        <w:tc>
          <w:tcPr>
            <w:tcW w:w="4500" w:type="dxa"/>
            <w:vAlign w:val="top"/>
          </w:tcPr>
          <w:p>
            <w:pPr>
              <w:spacing w:after="10"/>
            </w:pPr>
            <w:r>
              <w:rPr>
                <w:rStyle w:val=""/>
              </w:rPr>
              <w:t xml:space="preserve">100Base-TX, 10Base-T</w:t>
            </w:r>
          </w:p>
        </w:tc>
      </w:tr>
      <w:tr>
        <w:tc>
          <w:tcPr>
            <w:tcW w:w="4500" w:type="dxa"/>
            <w:vAlign w:val="top"/>
          </w:tcPr>
          <w:p>
            <w:pPr>
              <w:spacing w:after="10"/>
            </w:pPr>
            <w:r>
              <w:rPr>
                <w:rStyle w:val=""/>
              </w:rPr>
              <w:t xml:space="preserve">Serial interfaces</w:t>
            </w:r>
          </w:p>
        </w:tc>
        <w:tc>
          <w:tcPr>
            <w:tcW w:w="4500" w:type="dxa"/>
            <w:vAlign w:val="top"/>
          </w:tcPr>
          <w:p>
            <w:pPr>
              <w:spacing w:after="10"/>
            </w:pPr>
            <w:r>
              <w:rPr>
                <w:rStyle w:val=""/>
              </w:rPr>
              <w:t xml:space="preserve">Ethernet</w:t>
            </w:r>
          </w:p>
        </w:tc>
      </w:tr>
      <w:tr>
        <w:tc>
          <w:tcPr>
            <w:tcW w:w="4500" w:type="dxa"/>
            <w:vAlign w:val="top"/>
          </w:tcPr>
          <w:p>
            <w:pPr>
              <w:spacing w:after="10"/>
            </w:pPr>
            <w:r>
              <w:rPr>
                <w:rStyle w:val=""/>
              </w:rPr>
              <w:t xml:space="preserve">Internal storage</w:t>
            </w:r>
          </w:p>
        </w:tc>
        <w:tc>
          <w:tcPr>
            <w:tcW w:w="4500" w:type="dxa"/>
            <w:vAlign w:val="top"/>
          </w:tcPr>
          <w:p>
            <w:pPr>
              <w:spacing w:after="10"/>
            </w:pPr>
            <w:r>
              <w:rPr>
                <w:rStyle w:val=""/>
              </w:rPr>
              <w:t xml:space="preserve">microSDHC card, microSDXC card</w:t>
            </w:r>
          </w:p>
        </w:tc>
      </w:tr>
      <w:tr>
        <w:tc>
          <w:tcPr>
            <w:tcW w:w="4500" w:type="dxa"/>
            <w:vAlign w:val="top"/>
          </w:tcPr>
          <w:p>
            <w:pPr>
              <w:spacing w:after="10"/>
            </w:pPr>
            <w:r>
              <w:rPr>
                <w:rStyle w:val=""/>
              </w:rPr>
              <w:t xml:space="preserve">Analysis functions</w:t>
            </w:r>
          </w:p>
        </w:tc>
        <w:tc>
          <w:tcPr>
            <w:tcW w:w="4500" w:type="dxa"/>
            <w:vAlign w:val="top"/>
          </w:tcPr>
          <w:p>
            <w:pPr>
              <w:spacing w:after="10"/>
            </w:pPr>
            <w:r>
              <w:rPr>
                <w:rStyle w:val=""/>
              </w:rPr>
              <w:t xml:space="preserve">Defog, Intrusion, Loitering detection, Motion analysis, Motion detection, Person recognition, Tampering protection, Trip wire plus object counting</w:t>
            </w:r>
          </w:p>
        </w:tc>
      </w:tr>
      <w:tr>
        <w:tc>
          <w:tcPr>
            <w:tcW w:w="4500" w:type="dxa"/>
            <w:vAlign w:val="top"/>
          </w:tcPr>
          <w:p>
            <w:pPr>
              <w:spacing w:after="10"/>
            </w:pPr>
            <w:r>
              <w:rPr>
                <w:rStyle w:val=""/>
              </w:rPr>
              <w:t xml:space="preserve">Mounting</w:t>
            </w:r>
          </w:p>
        </w:tc>
        <w:tc>
          <w:tcPr>
            <w:tcW w:w="4500" w:type="dxa"/>
            <w:vAlign w:val="top"/>
          </w:tcPr>
          <w:p>
            <w:pPr>
              <w:spacing w:after="10"/>
            </w:pPr>
            <w:r>
              <w:rPr>
                <w:rStyle w:val=""/>
              </w:rPr>
              <w:t xml:space="preserve">Ceiling mount, Wall mount</w:t>
            </w:r>
          </w:p>
        </w:tc>
      </w:tr>
      <w:tr>
        <w:tc>
          <w:tcPr>
            <w:tcW w:w="4500" w:type="dxa"/>
            <w:vAlign w:val="top"/>
          </w:tcPr>
          <w:p>
            <w:pPr>
              <w:spacing w:after="10"/>
            </w:pPr>
            <w:r>
              <w:rPr>
                <w:rStyle w:val=""/>
              </w:rPr>
              <w:t xml:space="preserve">Supply voltage</w:t>
            </w:r>
          </w:p>
        </w:tc>
        <w:tc>
          <w:tcPr>
            <w:tcW w:w="4500" w:type="dxa"/>
            <w:vAlign w:val="top"/>
          </w:tcPr>
          <w:p>
            <w:pPr>
              <w:spacing w:after="10"/>
            </w:pPr>
            <w:r>
              <w:rPr>
                <w:rStyle w:val=""/>
              </w:rPr>
              <w:t xml:space="preserve">12VDC, PoE</w:t>
            </w:r>
          </w:p>
        </w:tc>
      </w:tr>
      <w:tr>
        <w:tc>
          <w:tcPr>
            <w:tcW w:w="4500" w:type="dxa"/>
            <w:vAlign w:val="top"/>
          </w:tcPr>
          <w:p>
            <w:pPr>
              <w:spacing w:after="10"/>
            </w:pPr>
            <w:r>
              <w:rPr>
                <w:rStyle w:val=""/>
              </w:rPr>
              <w:t xml:space="preserve">Power consumption</w:t>
            </w:r>
          </w:p>
        </w:tc>
        <w:tc>
          <w:tcPr>
            <w:tcW w:w="4500" w:type="dxa"/>
            <w:vAlign w:val="top"/>
          </w:tcPr>
          <w:p>
            <w:pPr>
              <w:spacing w:after="10"/>
            </w:pPr>
            <w:r>
              <w:rPr>
                <w:rStyle w:val=""/>
              </w:rPr>
              <w:t xml:space="preserve">9W</w:t>
            </w:r>
          </w:p>
        </w:tc>
      </w:tr>
      <w:tr>
        <w:tc>
          <w:tcPr>
            <w:tcW w:w="4500" w:type="dxa"/>
            <w:vAlign w:val="top"/>
          </w:tcPr>
          <w:p>
            <w:pPr>
              <w:spacing w:after="10"/>
            </w:pPr>
            <w:r>
              <w:rPr>
                <w:rStyle w:val=""/>
              </w:rPr>
              <w:t xml:space="preserve">Power over Ethernet</w:t>
            </w:r>
          </w:p>
        </w:tc>
        <w:tc>
          <w:tcPr>
            <w:tcW w:w="4500" w:type="dxa"/>
            <w:vAlign w:val="top"/>
          </w:tcPr>
          <w:p>
            <w:pPr>
              <w:spacing w:after="10"/>
            </w:pPr>
            <w:r>
              <w:rPr>
                <w:rStyle w:val=""/>
              </w:rPr>
              <w:t xml:space="preserve">IEEE 802.3af</w:t>
            </w:r>
          </w:p>
        </w:tc>
      </w:tr>
      <w:tr>
        <w:tc>
          <w:tcPr>
            <w:tcW w:w="4500" w:type="dxa"/>
            <w:vAlign w:val="top"/>
          </w:tcPr>
          <w:p>
            <w:pPr>
              <w:spacing w:after="10"/>
            </w:pPr>
            <w:r>
              <w:rPr>
                <w:rStyle w:val=""/>
              </w:rPr>
              <w:t xml:space="preserve">Vandal proof</w:t>
            </w:r>
          </w:p>
        </w:tc>
        <w:tc>
          <w:tcPr>
            <w:tcW w:w="4500" w:type="dxa"/>
            <w:vAlign w:val="top"/>
          </w:tcPr>
          <w:p>
            <w:pPr>
              <w:spacing w:after="10"/>
            </w:pPr>
            <w:r>
              <w:rPr>
                <w:rStyle w:val=""/>
              </w:rPr>
              <w:t xml:space="preserve">no</w:t>
            </w:r>
          </w:p>
        </w:tc>
      </w:tr>
      <w:tr>
        <w:tc>
          <w:tcPr>
            <w:tcW w:w="4500" w:type="dxa"/>
            <w:vAlign w:val="top"/>
          </w:tcPr>
          <w:p>
            <w:pPr>
              <w:spacing w:after="10"/>
            </w:pPr>
            <w:r>
              <w:rPr>
                <w:rStyle w:val=""/>
              </w:rPr>
              <w:t xml:space="preserve">Operating temperature</w:t>
            </w:r>
          </w:p>
        </w:tc>
        <w:tc>
          <w:tcPr>
            <w:tcW w:w="4500" w:type="dxa"/>
            <w:vAlign w:val="top"/>
          </w:tcPr>
          <w:p>
            <w:pPr>
              <w:spacing w:after="10"/>
            </w:pPr>
            <w:r>
              <w:rPr>
                <w:rStyle w:val=""/>
              </w:rPr>
              <w:t xml:space="preserve">-20°C ~ +50°C</w:t>
            </w:r>
          </w:p>
        </w:tc>
      </w:tr>
      <w:tr>
        <w:tc>
          <w:tcPr>
            <w:tcW w:w="4500" w:type="dxa"/>
            <w:vAlign w:val="top"/>
          </w:tcPr>
          <w:p>
            <w:pPr>
              <w:spacing w:after="10"/>
            </w:pPr>
            <w:r>
              <w:rPr>
                <w:rStyle w:val=""/>
              </w:rPr>
              <w:t xml:space="preserve">ONVIF</w:t>
            </w:r>
          </w:p>
        </w:tc>
        <w:tc>
          <w:tcPr>
            <w:tcW w:w="4500" w:type="dxa"/>
            <w:vAlign w:val="top"/>
          </w:tcPr>
          <w:p>
            <w:pPr>
              <w:spacing w:after="10"/>
            </w:pPr>
            <w:r>
              <w:rPr>
                <w:rStyle w:val=""/>
              </w:rPr>
              <w:t xml:space="preserve">ONVIF Profile S, ONVIF Profile T</w:t>
            </w:r>
          </w:p>
        </w:tc>
      </w:tr>
      <w:tr>
        <w:tc>
          <w:tcPr>
            <w:tcW w:w="4500" w:type="dxa"/>
            <w:vAlign w:val="top"/>
          </w:tcPr>
          <w:p>
            <w:pPr>
              <w:spacing w:after="10"/>
            </w:pPr>
            <w:r>
              <w:rPr>
                <w:rStyle w:val=""/>
              </w:rPr>
              <w:t xml:space="preserve">Protection rating</w:t>
            </w:r>
          </w:p>
        </w:tc>
        <w:tc>
          <w:tcPr>
            <w:tcW w:w="4500" w:type="dxa"/>
            <w:vAlign w:val="top"/>
          </w:tcPr>
          <w:p>
            <w:pPr>
              <w:spacing w:after="10"/>
            </w:pPr>
            <w:r>
              <w:rPr>
                <w:rStyle w:val=""/>
              </w:rPr>
              <w:t xml:space="preserve">IP66</w:t>
            </w:r>
          </w:p>
        </w:tc>
      </w:tr>
      <w:tr>
        <w:tc>
          <w:tcPr>
            <w:tcW w:w="4500" w:type="dxa"/>
            <w:vAlign w:val="top"/>
          </w:tcPr>
          <w:p>
            <w:pPr>
              <w:spacing w:after="10"/>
            </w:pPr>
            <w:r>
              <w:rPr>
                <w:rStyle w:val=""/>
              </w:rPr>
              <w:t xml:space="preserve">Camera type</w:t>
            </w:r>
          </w:p>
        </w:tc>
        <w:tc>
          <w:tcPr>
            <w:tcW w:w="4500" w:type="dxa"/>
            <w:vAlign w:val="top"/>
          </w:tcPr>
          <w:p>
            <w:pPr>
              <w:spacing w:after="10"/>
            </w:pPr>
            <w:r>
              <w:rPr>
                <w:rStyle w:val=""/>
              </w:rPr>
              <w:t xml:space="preserve">Bullet</w:t>
            </w:r>
          </w:p>
        </w:tc>
      </w:tr>
      <w:tr>
        <w:tc>
          <w:tcPr>
            <w:tcW w:w="4500" w:type="dxa"/>
            <w:vAlign w:val="top"/>
          </w:tcPr>
          <w:p>
            <w:pPr>
              <w:spacing w:after="10"/>
            </w:pPr>
            <w:r>
              <w:rPr>
                <w:rStyle w:val=""/>
              </w:rPr>
              <w:t xml:space="preserve">Audio</w:t>
            </w:r>
          </w:p>
        </w:tc>
        <w:tc>
          <w:tcPr>
            <w:tcW w:w="4500" w:type="dxa"/>
            <w:vAlign w:val="top"/>
          </w:tcPr>
          <w:p>
            <w:pPr>
              <w:spacing w:after="10"/>
            </w:pPr>
            <w:r>
              <w:rPr>
                <w:rStyle w:val=""/>
              </w:rPr>
              <w:t xml:space="preserve">2 Way Audio</w:t>
            </w:r>
          </w:p>
        </w:tc>
      </w:tr>
      <w:tr>
        <w:tc>
          <w:tcPr>
            <w:tcW w:w="4500" w:type="dxa"/>
            <w:vAlign w:val="top"/>
          </w:tcPr>
          <w:p>
            <w:pPr>
              <w:spacing w:after="10"/>
            </w:pPr>
            <w:r>
              <w:rPr>
                <w:rStyle w:val=""/>
              </w:rPr>
              <w:t xml:space="preserve">Remote configuration</w:t>
            </w:r>
          </w:p>
        </w:tc>
        <w:tc>
          <w:tcPr>
            <w:tcW w:w="4500" w:type="dxa"/>
            <w:vAlign w:val="top"/>
          </w:tcPr>
          <w:p>
            <w:pPr>
              <w:spacing w:after="10"/>
            </w:pPr>
            <w:r>
              <w:rPr>
                <w:rStyle w:val=""/>
              </w:rPr>
              <w:t xml:space="preserve">Browser</w:t>
            </w:r>
          </w:p>
        </w:tc>
      </w:tr>
      <w:tr>
        <w:tc>
          <w:tcPr>
            <w:tcW w:w="4500" w:type="dxa"/>
            <w:vAlign w:val="top"/>
          </w:tcPr>
          <w:p>
            <w:pPr>
              <w:spacing w:after="10"/>
            </w:pPr>
            <w:r>
              <w:rPr>
                <w:rStyle w:val=""/>
              </w:rPr>
              <w:t xml:space="preserve">Illumination range</w:t>
            </w:r>
          </w:p>
        </w:tc>
        <w:tc>
          <w:tcPr>
            <w:tcW w:w="4500" w:type="dxa"/>
            <w:vAlign w:val="top"/>
          </w:tcPr>
          <w:p>
            <w:pPr>
              <w:spacing w:after="10"/>
            </w:pPr>
            <w:r>
              <w:rPr>
                <w:rStyle w:val=""/>
              </w:rPr>
              <w:t xml:space="preserve">approx. 30m</w:t>
            </w:r>
          </w:p>
        </w:tc>
      </w:tr>
      <w:tr>
        <w:tc>
          <w:tcPr>
            <w:tcW w:w="4500" w:type="dxa"/>
            <w:vAlign w:val="top"/>
          </w:tcPr>
          <w:p>
            <w:pPr>
              <w:spacing w:after="10"/>
            </w:pPr>
            <w:r>
              <w:rPr>
                <w:rStyle w:val=""/>
              </w:rPr>
              <w:t xml:space="preserve">Weight</w:t>
            </w:r>
          </w:p>
        </w:tc>
        <w:tc>
          <w:tcPr>
            <w:tcW w:w="4500" w:type="dxa"/>
            <w:vAlign w:val="top"/>
          </w:tcPr>
          <w:p>
            <w:pPr>
              <w:spacing w:after="10"/>
            </w:pPr>
            <w:r>
              <w:rPr>
                <w:rStyle w:val=""/>
              </w:rPr>
              <w:t xml:space="preserve">860g</w:t>
            </w:r>
          </w:p>
        </w:tc>
      </w:tr>
      <w:tr>
        <w:tc>
          <w:tcPr>
            <w:tcW w:w="4500" w:type="dxa"/>
            <w:vAlign w:val="top"/>
          </w:tcPr>
          <w:p>
            <w:pPr>
              <w:spacing w:after="10"/>
            </w:pPr>
            <w:r>
              <w:rPr>
                <w:rStyle w:val=""/>
              </w:rPr>
              <w:t xml:space="preserve">Manufacturer order number</w:t>
            </w:r>
          </w:p>
        </w:tc>
        <w:tc>
          <w:tcPr>
            <w:tcW w:w="4500" w:type="dxa"/>
            <w:vAlign w:val="top"/>
          </w:tcPr>
          <w:p>
            <w:pPr>
              <w:spacing w:after="10"/>
            </w:pPr>
            <w:r>
              <w:rPr>
                <w:rStyle w:val=""/>
              </w:rPr>
              <w:t xml:space="preserve">220082</w:t>
            </w:r>
          </w:p>
        </w:tc>
      </w:tr>
      <w:tr>
        <w:tc>
          <w:tcPr>
            <w:tcW w:w="4500" w:type="dxa"/>
            <w:vAlign w:val="top"/>
          </w:tcPr>
          <w:p>
            <w:pPr>
              <w:spacing w:after="10"/>
            </w:pPr>
            <w:r>
              <w:rPr>
                <w:rStyle w:val=""/>
              </w:rPr>
              <w:t xml:space="preserve">Brand</w:t>
            </w:r>
          </w:p>
        </w:tc>
        <w:tc>
          <w:tcPr>
            <w:tcW w:w="4500" w:type="dxa"/>
            <w:vAlign w:val="top"/>
          </w:tcPr>
          <w:p>
            <w:pPr>
              <w:spacing w:after="10"/>
            </w:pPr>
            <w:r>
              <w:rPr>
                <w:rStyle w:val=""/>
              </w:rPr>
              <w:t xml:space="preserve">eneo</w:t>
            </w:r>
          </w:p>
        </w:tc>
      </w:tr>
    </w:tbl>
    <w:p>
      <w:pPr>
        <w:pStyle w:val="p2Style"/>
      </w:pPr>
      <w:r>
        <w:rPr>
          <w:rStyle w:val="head2Style"/>
        </w:rPr>
        <w:t xml:space="preserve"/>
      </w:r>
    </w:p>
    <w:p>
      <w:pPr>
        <w:pStyle w:val="p2Style"/>
      </w:pPr>
      <w:r>
        <w:rPr>
          <w:rStyle w:val="head2Style"/>
        </w:rPr>
        <w:t xml:space="preserve">Additional Productinformation</w:t>
      </w:r>
    </w:p>
    <w:p>
      <w:pPr>
        <w:pStyle w:val="p2Style"/>
      </w:pPr>
      <w:r>
        <w:rPr>
          <w:rStyle w:val="textStyle"/>
        </w:rPr>
        <w:t xml:space="preserve"/>
      </w:r>
    </w:p>
    <w:p>
      <w:pPr>
        <w:pStyle w:val="p2Style"/>
      </w:pPr>
      <w:r>
        <w:rPr>
          <w:rStyle w:val="textStyle"/>
        </w:rPr>
        <w:t xml:space="preserve">&lt;h2&gt;Diebstahlprävention: Leistungsstarke eneo IP-Kamera für Einzelhandel&lt;/h2&gt;&lt;p&gt;Gelegenheitsdiebstähle, Beschaffungskriminalität, organisierte Bandendiebstähle: Ladendiebstahl ist und bleibt ein großes Problem für den stationären Einzelhandel. Für wirksame Prävention und zuverlässige Aufklärung sorgt professionelle Videoüberwachung. Im eneo Portfolio finden Sie hierfür eine große Auswahl. Als IP-Kamera für Einzelhandel hat sich z. B. die Full HD Kamera IEB-72M2812MAA bewährt. Als Netzwerkkamera für Einzelhandel wird sie im Kampf gegen die kriminellen Ursachen von Warenschwund in zahlreichen Shops und Einzelhandelsunternehmen eingesetzt. &lt;br&gt;&lt;br&gt;&lt;/p&gt;&lt;h3&gt;Verkaufsfläche optimal im Blick&lt;/h3&gt;&lt;p&gt;Die eneo Netzwerkkamera für Einzelhandel verfügt über ein motorisiertes Varifokalobjektiv mit P-Iris Blendensteuerung. Damit stellen Anwender den Bildbereich im Handumdrehen ein. Ausgestattet mit einem sehr leistungsfähigen Sony STARVIS CMOS-Sensor generiert die IP-Kamera Videobilder in Full-HD-Auflösung, die auch in der Zoomvergrößerung aussagekräftige Videobeweise liefern. Der horizontale Bildwinkel reicht von 100° bis 33°, der vertikale Bildwinkel von 56° bis 18°. In Kombination mit der hohen Auflösung ermöglicht dies eine sehr gute Übersicht über die gesamten Überwachungsbereich. &lt;br&gt;&lt;br&gt;&lt;/p&gt;&lt;h3&gt;Unterstützung für die Sicherheitsverantwortlichen: Intelligente Videoanalyse &lt;/h3&gt;&lt;p&gt;Die intelligenten und selbstlernenden Videoanalysefunktionen an Bord der eneo IP-Kamera für Einzelhandel ermöglichen eine weitgehend automatisierte Überwachung und unterstützen so das Sicherheitspersonal. Zum Funktionsumfang zählen neben Bewegungsanalyse und Bewegungserkennung die Erkennung von unbefugtem Eindringen und herumlungernden Personen (Intrusions- und Loitering-Detektion) und eine Personen- und Richtungserkennung mit integrierter Objektzählfunktion. Darüber hinaus unterstützt IEB-72M2812MAA die bidirektionale Audioübertragung, so dass Personen im Überwachungsbereich direkt angesprochen werden können. &lt;br&gt;&lt;br&gt;&lt;/p&gt;&lt;h3&gt;Zeitsparende Montage und Inbetriebnahme&lt;/h3&gt;&lt;p&gt;Wie alle eneo Bullet-Kameras ist diese IP-Kamera für Einzelhandel auf eine errichterfreundliche und schnelle Montage ausgelegt. Gerade im Retail-Bereich ist dies von Vorteil, da die Installation nur außerhalb der Geschäftszeiten erfolgen kann. Für eine professionelle und optisch ansprechende Installation an Wand oder Decke sind bei eneo zudem geeignete Kamera-Anschlussboxen erhältlich. Zudem unterstützt die Netzwerkkamera für Einzelhandel die ONVIF Profile S &amp; T und ist somit mit ONVIF-konformen IP-Geräten anderer Hersteller kompatibel. &lt;/p&gt;</w:t>
      </w:r>
    </w:p>
    <w:p>
      <w:pPr>
        <w:pStyle w:val="p2Style"/>
      </w:pPr>
      <w:r>
        <w:rPr>
          <w:rStyle w:val="head2Style"/>
        </w:rPr>
        <w:t xml:space="preserve"/>
      </w:r>
    </w:p>
    <w:p>
      <w:pPr>
        <w:pStyle w:val="p2Style"/>
      </w:pPr>
      <w:r>
        <w:rPr>
          <w:rStyle w:val="head2Style"/>
        </w:rPr>
        <w:t xml:space="preserve">Related products</w:t>
      </w:r>
    </w:p>
    <w:tbl>
      <w:tblPr>
        <w:tblStyle w:val="crosssell_products"/>
      </w:tblPr>
      <w:tr>
        <w:tc>
          <w:tcPr>
            <w:tcW w:w="4500" w:type="dxa"/>
            <w:vAlign w:val="top"/>
          </w:tcPr>
          <w:p>
            <w:pPr>
              <w:spacing w:after="10"/>
            </w:pPr>
            <w:r>
              <w:rPr>
                <w:rStyle w:val=""/>
              </w:rPr>
              <w:t xml:space="preserve">AK-8B</w:t>
            </w:r>
          </w:p>
        </w:tc>
        <w:tc>
          <w:tcPr>
            <w:tcW w:w="4500" w:type="dxa"/>
            <w:vAlign w:val="top"/>
          </w:tcPr>
          <w:p>
            <w:pPr>
              <w:spacing w:after="10"/>
            </w:pPr>
            <w:r>
              <w:rPr>
                <w:rStyle w:val=""/>
              </w:rPr>
              <w:t xml:space="preserve">Camera junction box,  Wall and Ceiling mounting</w:t>
            </w:r>
          </w:p>
        </w:tc>
      </w:tr>
      <w:tr>
        <w:tc>
          <w:tcPr>
            <w:tcW w:w="4500" w:type="dxa"/>
            <w:vAlign w:val="top"/>
          </w:tcPr>
          <w:p>
            <w:pPr>
              <w:spacing w:after="10"/>
            </w:pPr>
            <w:r>
              <w:rPr>
                <w:rStyle w:val=""/>
              </w:rPr>
              <w:t xml:space="preserve">AK-9B</w:t>
            </w:r>
          </w:p>
        </w:tc>
        <w:tc>
          <w:tcPr>
            <w:tcW w:w="4500" w:type="dxa"/>
            <w:vAlign w:val="top"/>
          </w:tcPr>
          <w:p>
            <w:pPr>
              <w:spacing w:after="10"/>
            </w:pPr>
            <w:r>
              <w:rPr>
                <w:rStyle w:val=""/>
              </w:rPr>
              <w:t xml:space="preserve">Camera junction box for DH-6, Dome-WB4</w:t>
            </w:r>
          </w:p>
        </w:tc>
      </w:tr>
      <w:tr>
        <w:tc>
          <w:tcPr>
            <w:tcW w:w="4500" w:type="dxa"/>
            <w:vAlign w:val="top"/>
          </w:tcPr>
          <w:p>
            <w:pPr>
              <w:spacing w:after="10"/>
            </w:pPr>
            <w:r>
              <w:rPr>
                <w:rStyle w:val=""/>
              </w:rPr>
              <w:t xml:space="preserve">eneo Site Manager</w:t>
            </w:r>
          </w:p>
        </w:tc>
        <w:tc>
          <w:tcPr>
            <w:tcW w:w="4500" w:type="dxa"/>
            <w:vAlign w:val="top"/>
          </w:tcPr>
          <w:p>
            <w:pPr>
              <w:spacing w:after="10"/>
            </w:pPr>
            <w:r>
              <w:rPr>
                <w:rStyle w:val=""/>
              </w:rPr>
              <w:t xml:space="preserve">Management Software for eneo IP products</w:t>
            </w:r>
          </w:p>
        </w:tc>
      </w:tr>
      <w:tr>
        <w:tc>
          <w:tcPr>
            <w:tcW w:w="4500" w:type="dxa"/>
            <w:vAlign w:val="top"/>
          </w:tcPr>
          <w:p>
            <w:pPr>
              <w:spacing w:after="10"/>
            </w:pPr>
            <w:r>
              <w:rPr>
                <w:rStyle w:val=""/>
              </w:rPr>
              <w:t xml:space="preserve">IAD-5SG1008MUA</w:t>
            </w:r>
          </w:p>
        </w:tc>
        <w:tc>
          <w:tcPr>
            <w:tcW w:w="4500" w:type="dxa"/>
            <w:vAlign w:val="top"/>
          </w:tcPr>
          <w:p>
            <w:pPr>
              <w:spacing w:after="10"/>
            </w:pPr>
            <w:r>
              <w:rPr>
                <w:rStyle w:val=""/>
              </w:rPr>
              <w:t xml:space="preserve">Gigabit Switch, Unmanaged, 120W, 8x PoE, 1xSFP, 1x RJ45, 10/100/1000 Mbps, Desktop</w:t>
            </w:r>
          </w:p>
        </w:tc>
      </w:tr>
    </w:tbl>
    <w:p>
      <w:pPr>
        <w:pStyle w:val="p2Style"/>
      </w:pPr>
      <w:r>
        <w:rPr>
          <w:rStyle w:val="head2Style"/>
        </w:rPr>
        <w:t xml:space="preserve"/>
      </w:r>
    </w:p>
    <w:p>
      <w:pPr>
        <w:pStyle w:val="p2Style"/>
      </w:pPr>
      <w:r>
        <w:rPr>
          <w:rStyle w:val="head2Style"/>
        </w:rPr>
        <w:t xml:space="preserve">Recommendations</w:t>
      </w:r>
    </w:p>
    <w:tbl>
      <w:tblPr>
        <w:tblStyle w:val="upsell_products"/>
      </w:tblPr>
      <w:tr>
        <w:tc>
          <w:tcPr>
            <w:tcW w:w="4500" w:type="dxa"/>
            <w:vAlign w:val="top"/>
          </w:tcPr>
          <w:p>
            <w:pPr>
              <w:spacing w:after="10"/>
            </w:pPr>
            <w:r>
              <w:rPr>
                <w:rStyle w:val=""/>
              </w:rPr>
              <w:t xml:space="preserve">CUS-SL-B</w:t>
            </w:r>
          </w:p>
        </w:tc>
        <w:tc>
          <w:tcPr>
            <w:tcW w:w="4500" w:type="dxa"/>
            <w:vAlign w:val="top"/>
          </w:tcPr>
          <w:p>
            <w:pPr>
              <w:spacing w:after="10"/>
            </w:pPr>
            <w:r>
              <w:rPr>
                <w:rStyle w:val=""/>
              </w:rPr>
              <w:t xml:space="preserve">Extra charge for special paint bullet camera in RAL color</w:t>
            </w:r>
          </w:p>
        </w:tc>
      </w:tr>
      <w:tr>
        <w:tc>
          <w:tcPr>
            <w:tcW w:w="4500" w:type="dxa"/>
            <w:vAlign w:val="top"/>
          </w:tcPr>
          <w:p>
            <w:pPr>
              <w:spacing w:after="10"/>
            </w:pPr>
            <w:r>
              <w:rPr>
                <w:rStyle w:val=""/>
              </w:rPr>
              <w:t xml:space="preserve">WDD064G1P0C</w:t>
            </w:r>
          </w:p>
        </w:tc>
        <w:tc>
          <w:tcPr>
            <w:tcW w:w="4500" w:type="dxa"/>
            <w:vAlign w:val="top"/>
          </w:tcPr>
          <w:p>
            <w:pPr>
              <w:spacing w:after="10"/>
            </w:pPr>
            <w:r>
              <w:rPr>
                <w:rStyle w:val=""/>
              </w:rPr>
              <w:t xml:space="preserve">MicroSDXC Speicherkarte, 64GB, Class 10, UHS-I U1, 32TBW, für Videoüberwachung</w:t>
            </w:r>
          </w:p>
        </w:tc>
      </w:tr>
    </w:tbl>
    <w:p>
      <w:pPr>
        <w:pStyle w:val="p2Style"/>
      </w:pPr>
      <w:r>
        <w:rPr>
          <w:rStyle w:val="head2Style"/>
        </w:rPr>
        <w:t xml:space="preserve"/>
      </w:r>
    </w:p>
    <w:p>
      <w:pPr>
        <w:pStyle w:val="p2Style"/>
      </w:pPr>
      <w:r>
        <w:rPr>
          <w:rStyle w:val="head2Style"/>
        </w:rPr>
        <w:t xml:space="preserve">Services</w:t>
      </w:r>
    </w:p>
    <w:tbl>
      <w:tblPr>
        <w:tblStyle w:val="related_products"/>
      </w:tblPr>
      <w:tr>
        <w:tc>
          <w:tcPr>
            <w:tcW w:w="4500" w:type="dxa"/>
            <w:vAlign w:val="top"/>
          </w:tcPr>
          <w:p>
            <w:pPr>
              <w:spacing w:after="10"/>
            </w:pPr>
            <w:r>
              <w:rPr>
                <w:rStyle w:val=""/>
              </w:rPr>
              <w:t xml:space="preserve">CON-KAM-IPKON</w:t>
            </w:r>
          </w:p>
        </w:tc>
        <w:tc>
          <w:tcPr>
            <w:tcW w:w="4500" w:type="dxa"/>
            <w:vAlign w:val="top"/>
          </w:tcPr>
          <w:p>
            <w:pPr>
              <w:spacing w:after="10"/>
            </w:pPr>
            <w:r>
              <w:rPr>
                <w:rStyle w:val=""/>
              </w:rPr>
              <w:t xml:space="preserve">Preconfiguration 1x IP camera Function test, FW update</w:t>
            </w:r>
          </w:p>
        </w:tc>
      </w:tr>
      <w:tr>
        <w:tc>
          <w:tcPr>
            <w:tcW w:w="4500" w:type="dxa"/>
            <w:vAlign w:val="top"/>
          </w:tcPr>
          <w:p>
            <w:pPr>
              <w:spacing w:after="10"/>
            </w:pPr>
            <w:r>
              <w:rPr>
                <w:rStyle w:val=""/>
              </w:rPr>
              <w:t xml:space="preserve">CUS-SL-B</w:t>
            </w:r>
          </w:p>
        </w:tc>
        <w:tc>
          <w:tcPr>
            <w:tcW w:w="4500" w:type="dxa"/>
            <w:vAlign w:val="top"/>
          </w:tcPr>
          <w:p>
            <w:pPr>
              <w:spacing w:after="10"/>
            </w:pPr>
            <w:r>
              <w:rPr>
                <w:rStyle w:val=""/>
              </w:rPr>
              <w:t xml:space="preserve">Extra charge for special paint bullet camera in RAL color</w:t>
            </w:r>
          </w:p>
        </w:tc>
      </w:tr>
      <w:tr>
        <w:tc>
          <w:tcPr>
            <w:tcW w:w="4500" w:type="dxa"/>
            <w:vAlign w:val="top"/>
          </w:tcPr>
          <w:p>
            <w:pPr>
              <w:spacing w:after="10"/>
            </w:pPr>
            <w:r>
              <w:rPr>
                <w:rStyle w:val=""/>
              </w:rPr>
              <w:t xml:space="preserve">CUS-SL-GK</w:t>
            </w:r>
          </w:p>
        </w:tc>
        <w:tc>
          <w:tcPr>
            <w:tcW w:w="4500" w:type="dxa"/>
            <w:vAlign w:val="top"/>
          </w:tcPr>
          <w:p>
            <w:pPr>
              <w:spacing w:after="10"/>
            </w:pPr>
            <w:r>
              <w:rPr>
                <w:rStyle w:val=""/>
              </w:rPr>
              <w:t xml:space="preserve">Painting basic costs once per RAL color and delivery lot</w:t>
            </w:r>
          </w:p>
        </w:tc>
      </w:tr>
    </w:tbl>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 w:type="table" w:customStyle="1" w:styleId="crosssell_products">
    <w:name w:val="crosssell_product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 w:type="table" w:customStyle="1" w:styleId="upsell_products">
    <w:name w:val="upsell_product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 w:type="table" w:customStyle="1" w:styleId="related_products">
    <w:name w:val="related_product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2024-03-29T15:14:06+00:00</dcterms:created>
  <dcterms:modified xsi:type="dcterms:W3CDTF">2024-03-29T15:14:06+00:00</dcterms:modified>
  <dc:title/>
  <dc:description/>
  <dc:subject/>
  <cp:keywords/>
  <cp:category/>
</cp:coreProperties>
</file>