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NSFP-20000DLC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1.25 Gbps, 20KM, Duplex LC, Tx/Rx at 1310 nm, hot-plug,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on 9/125 µm SMF</w:t>
      </w:r>
    </w:p>
    <w:p>
      <w:pPr>
        <w:pStyle w:val="p2Style"/>
      </w:pPr>
      <w:r>
        <w:rPr>
          <w:rStyle w:val="textStyle"/>
        </w:rPr>
        <w:t xml:space="preserve">Dual-fiber design (separate TX and RX fibers)</w:t>
      </w:r>
    </w:p>
    <w:p>
      <w:pPr>
        <w:pStyle w:val="p2Style"/>
      </w:pPr>
      <w:r>
        <w:rPr>
          <w:rStyle w:val="textStyle"/>
        </w:rPr>
        <w:t xml:space="preserve">Up to 20 km range (single-mode fiber)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Integrated Digital Diagnostics Monitoring (DDM)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Single 3.3V power supply</w:t>
      </w:r>
    </w:p>
    <w:p>
      <w:pPr>
        <w:pStyle w:val="p2Style"/>
      </w:pPr>
      <w:r>
        <w:rPr>
          <w:rStyle w:val="textStyle"/>
        </w:rPr>
        <w:t xml:space="preserve">Metal housing for low EMI interference</w:t>
      </w:r>
    </w:p>
    <w:p>
      <w:pPr>
        <w:pStyle w:val="p2Style"/>
      </w:pPr>
      <w:r>
        <w:rPr>
          <w:rStyle w:val="textStyle"/>
        </w:rPr>
        <w:t xml:space="preserve">TX fault and Loss of Signal (LOS) alerts</w:t>
      </w:r>
    </w:p>
    <w:p>
      <w:pPr>
        <w:pStyle w:val="p2Style"/>
      </w:pPr>
      <w:r>
        <w:rPr>
          <w:rStyle w:val="textStyle"/>
        </w:rPr>
        <w:t xml:space="preserve">Low power consumption (&lt; 300 mA)</w:t>
      </w:r>
    </w:p>
    <w:p>
      <w:pPr>
        <w:pStyle w:val="p2Style"/>
      </w:pPr>
      <w:r>
        <w:rPr>
          <w:rStyle w:val="textStyle"/>
        </w:rPr>
        <w:t xml:space="preserve">RoHS compliant and lead-free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2026-10-31T08:00:18+00:00</dcterms:created>
  <dcterms:modified xsi:type="dcterms:W3CDTF">2026-10-31T08:00:18+00:00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