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pStyle"/>
      </w:pPr>
      <w:r>
        <w:rPr>
          <w:rStyle w:val="headStyle"/>
        </w:rPr>
        <w:t xml:space="preserve">Specifications text</w:t>
      </w:r>
    </w:p>
    <w:p>
      <w:pPr>
        <w:pStyle w:val="p2Style"/>
      </w:pPr>
      <w:r>
        <w:rPr>
          <w:rStyle w:val="head2Style"/>
        </w:rPr>
        <w:t xml:space="preserve"/>
      </w:r>
    </w:p>
    <w:p>
      <w:pPr>
        <w:pStyle w:val="p2Style"/>
      </w:pPr>
      <w:r>
        <w:rPr>
          <w:rStyle w:val="head2Style"/>
        </w:rPr>
        <w:t xml:space="preserve"/>
      </w:r>
    </w:p>
    <w:p>
      <w:pPr>
        <w:pStyle w:val="p2Style"/>
      </w:pPr>
      <w:r>
        <w:rPr>
          <w:rStyle w:val="head2Style"/>
        </w:rPr>
        <w:t xml:space="preserve"/>
      </w:r>
    </w:p>
    <w:p>
      <w:pPr>
        <w:pStyle w:val="p2Style"/>
      </w:pPr>
      <w:r>
        <w:rPr>
          <w:rStyle w:val="head2Style"/>
        </w:rPr>
        <w:t xml:space="preserve">Article number</w:t>
      </w:r>
    </w:p>
    <w:p>
      <w:pPr>
        <w:pStyle w:val="p2Style"/>
      </w:pPr>
      <w:r>
        <w:rPr>
          <w:rStyle w:val="textStyle"/>
        </w:rPr>
        <w:t xml:space="preserve">233796</w:t>
      </w:r>
    </w:p>
    <w:p>
      <w:pPr>
        <w:pStyle w:val="p2Style"/>
      </w:pPr>
      <w:r>
        <w:rPr>
          <w:rStyle w:val="head2Style"/>
        </w:rPr>
        <w:t xml:space="preserve"/>
      </w:r>
    </w:p>
    <w:p>
      <w:pPr>
        <w:pStyle w:val="p2Style"/>
      </w:pPr>
      <w:r>
        <w:rPr>
          <w:rStyle w:val="head2Style"/>
        </w:rPr>
        <w:t xml:space="preserve">Type</w:t>
      </w:r>
    </w:p>
    <w:p>
      <w:pPr>
        <w:pStyle w:val="p2Style"/>
      </w:pPr>
      <w:r>
        <w:rPr>
          <w:rStyle w:val="textStyle"/>
        </w:rPr>
        <w:t xml:space="preserve">eneo IND-42M2808M0A</w:t>
      </w:r>
    </w:p>
    <w:p>
      <w:pPr>
        <w:pStyle w:val="p2Style"/>
      </w:pPr>
      <w:r>
        <w:rPr>
          <w:rStyle w:val="head2Style"/>
        </w:rPr>
        <w:t xml:space="preserve"/>
      </w:r>
    </w:p>
    <w:p>
      <w:pPr>
        <w:pStyle w:val="p2Style"/>
      </w:pPr>
      <w:r>
        <w:rPr>
          <w:rStyle w:val="head2Style"/>
        </w:rPr>
        <w:t xml:space="preserve">Short description</w:t>
      </w:r>
    </w:p>
    <w:p>
      <w:pPr>
        <w:pStyle w:val="p2Style"/>
      </w:pPr>
      <w:r>
        <w:rPr>
          <w:rStyle w:val="textStyle"/>
        </w:rPr>
        <w:t xml:space="preserve">Mini Network Dome Camera Fix, 1920x1080, Day/Night, WDR, AI 2,8-8mm, IR, 12VDC, PoE, IP66, IK10</w:t>
      </w:r>
    </w:p>
    <w:p>
      <w:pPr>
        <w:pStyle w:val="p2Style"/>
      </w:pPr>
      <w:r>
        <w:rPr>
          <w:rStyle w:val="head2Style"/>
        </w:rPr>
        <w:t xml:space="preserve"/>
      </w:r>
    </w:p>
    <w:p>
      <w:pPr>
        <w:pStyle w:val="p2Style"/>
      </w:pPr>
      <w:r>
        <w:rPr>
          <w:rStyle w:val="head2Style"/>
        </w:rPr>
        <w:t xml:space="preserve">Main Features</w:t>
      </w:r>
    </w:p>
    <w:p>
      <w:pPr>
        <w:pStyle w:val="p2Style"/>
      </w:pPr>
      <w:r>
        <w:rPr>
          <w:rStyle w:val="textStyle"/>
        </w:rPr>
        <w:t xml:space="preserve">1/2.8" Sony STARVIS CMOS sensor,2 MP/60fps</w:t>
      </w:r>
    </w:p>
    <w:p>
      <w:pPr>
        <w:pStyle w:val="p2Style"/>
      </w:pPr>
      <w:r>
        <w:rPr>
          <w:rStyle w:val="textStyle"/>
        </w:rPr>
        <w:t xml:space="preserve">AI analysis functions including object classification</w:t>
      </w:r>
    </w:p>
    <w:p>
      <w:pPr>
        <w:pStyle w:val="p2Style"/>
      </w:pPr>
      <w:r>
        <w:rPr>
          <w:rStyle w:val="textStyle"/>
        </w:rPr>
        <w:t xml:space="preserve">WDR 120dB, 3D-DNR Noise Reduction</w:t>
      </w:r>
    </w:p>
    <w:p>
      <w:pPr>
        <w:pStyle w:val="p2Style"/>
      </w:pPr>
      <w:r>
        <w:rPr>
          <w:rStyle w:val="textStyle"/>
        </w:rPr>
        <w:t xml:space="preserve">Motorized varifocal lens 2.8-8mm</w:t>
      </w:r>
    </w:p>
    <w:p>
      <w:pPr>
        <w:pStyle w:val="p2Style"/>
      </w:pPr>
      <w:r>
        <w:rPr>
          <w:rStyle w:val="textStyle"/>
        </w:rPr>
        <w:t xml:space="preserve">Smart Codec H.265/H.264, multi-streaming</w:t>
      </w:r>
    </w:p>
    <w:p>
      <w:pPr>
        <w:pStyle w:val="p2Style"/>
      </w:pPr>
      <w:r>
        <w:rPr>
          <w:rStyle w:val="textStyle"/>
        </w:rPr>
        <w:t xml:space="preserve">Browser independent (IE, Edge, Safari, Firefox, Chrome)</w:t>
      </w:r>
    </w:p>
    <w:p>
      <w:pPr>
        <w:pStyle w:val="p2Style"/>
      </w:pPr>
      <w:r>
        <w:rPr>
          <w:rStyle w:val="textStyle"/>
        </w:rPr>
        <w:t xml:space="preserve">Supports ONVIF profiles S/T/G/M</w:t>
      </w:r>
    </w:p>
    <w:p>
      <w:pPr>
        <w:pStyle w:val="p2Style"/>
      </w:pPr>
      <w:r>
        <w:rPr>
          <w:rStyle w:val="textStyle"/>
        </w:rPr>
        <w:t xml:space="preserve">Multilingual menu navigation (OSD)</w:t>
      </w:r>
    </w:p>
    <w:p>
      <w:pPr>
        <w:pStyle w:val="p2Style"/>
      </w:pPr>
      <w:r>
        <w:rPr>
          <w:rStyle w:val="textStyle"/>
        </w:rPr>
        <w:t xml:space="preserve">Local storage via Micro SD card</w:t>
      </w:r>
    </w:p>
    <w:p>
      <w:pPr>
        <w:pStyle w:val="p2Style"/>
      </w:pPr>
      <w:r>
        <w:rPr>
          <w:rStyle w:val="textStyle"/>
        </w:rPr>
        <w:t xml:space="preserve">Supports audio and external alarm input and output</w:t>
      </w:r>
    </w:p>
    <w:p>
      <w:pPr>
        <w:pStyle w:val="p2Style"/>
      </w:pPr>
      <w:r>
        <w:rPr>
          <w:rStyle w:val="textStyle"/>
        </w:rPr>
        <w:t xml:space="preserve">NDAA compliance</w:t>
      </w:r>
    </w:p>
    <w:p>
      <w:pPr>
        <w:pStyle w:val="p2Style"/>
      </w:pPr>
      <w:r>
        <w:rPr>
          <w:rStyle w:val="textStyle"/>
        </w:rPr>
        <w:t xml:space="preserve">IR LED illumination, IP66 and vandal proof IK10</w:t>
      </w:r>
    </w:p>
    <w:p>
      <w:pPr>
        <w:pStyle w:val="p2Style"/>
      </w:pPr>
      <w:r>
        <w:rPr>
          <w:rStyle w:val="head2Style"/>
        </w:rPr>
        <w:t xml:space="preserve"/>
      </w:r>
    </w:p>
    <w:p>
      <w:pPr>
        <w:pStyle w:val="p2Style"/>
      </w:pPr>
      <w:r>
        <w:rPr>
          <w:rStyle w:val="head2Style"/>
        </w:rPr>
        <w:t xml:space="preserve">Other Features (Specifications)</w:t>
      </w:r>
    </w:p>
    <w:tbl>
      <w:tblGrid>
        <w:gridCol w:w="4500" w:type="dxa"/>
        <w:gridCol w:w="4500" w:type="dxa"/>
      </w:tblGrid>
      <w:tblPr>
        <w:tblStyle w:val="specifications"/>
      </w:tblPr>
      <w:tr>
        <w:trPr/>
        <w:tc>
          <w:tcPr>
            <w:tcW w:w="4500" w:type="dxa"/>
            <w:vAlign w:val="top"/>
            <w:noWrap/>
          </w:tcPr>
          <w:p>
            <w:pPr>
              <w:spacing w:after="10"/>
            </w:pPr>
            <w:r>
              <w:rPr>
                <w:rStyle w:val=""/>
              </w:rPr>
              <w:t xml:space="preserve">General</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Heating</w:t>
            </w:r>
          </w:p>
        </w:tc>
        <w:tc>
          <w:tcPr>
            <w:tcW w:w="4500" w:type="dxa"/>
            <w:vAlign w:val="top"/>
            <w:noWrap/>
          </w:tcPr>
          <w:p>
            <w:pPr>
              <w:spacing w:after="10"/>
            </w:pPr>
            <w:r>
              <w:rPr>
                <w:rStyle w:val=""/>
              </w:rPr>
              <w:t xml:space="preserve">No</w:t>
            </w:r>
          </w:p>
        </w:tc>
      </w:tr>
      <w:tr>
        <w:trPr/>
        <w:tc>
          <w:tcPr>
            <w:tcW w:w="4500" w:type="dxa"/>
            <w:vAlign w:val="top"/>
            <w:noWrap/>
          </w:tcPr>
          <w:p>
            <w:pPr>
              <w:spacing w:after="10"/>
            </w:pPr>
            <w:r>
              <w:rPr>
                <w:rStyle w:val=""/>
              </w:rPr>
              <w:t xml:space="preserve">Vandalism-resistant</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Audio compression</w:t>
            </w:r>
          </w:p>
        </w:tc>
        <w:tc>
          <w:tcPr>
            <w:tcW w:w="4500" w:type="dxa"/>
            <w:vAlign w:val="top"/>
            <w:noWrap/>
          </w:tcPr>
          <w:p>
            <w:pPr>
              <w:spacing w:after="10"/>
            </w:pPr>
            <w:r>
              <w:rPr>
                <w:rStyle w:val=""/>
              </w:rPr>
              <w:t xml:space="preserve">G.711</w:t>
            </w:r>
          </w:p>
        </w:tc>
      </w:tr>
      <w:tr>
        <w:trPr/>
        <w:tc>
          <w:tcPr>
            <w:tcW w:w="4500" w:type="dxa"/>
            <w:vAlign w:val="top"/>
            <w:noWrap/>
          </w:tcPr>
          <w:p>
            <w:pPr>
              <w:spacing w:after="10"/>
            </w:pPr>
            <w:r>
              <w:rPr>
                <w:rStyle w:val=""/>
              </w:rPr>
              <w:t xml:space="preserve">Lighting</w:t>
            </w:r>
          </w:p>
        </w:tc>
        <w:tc>
          <w:tcPr>
            <w:tcW w:w="4500" w:type="dxa"/>
            <w:vAlign w:val="top"/>
            <w:noWrap/>
          </w:tcPr>
          <w:p>
            <w:pPr>
              <w:spacing w:after="10"/>
            </w:pPr>
            <w:r>
              <w:rPr>
                <w:rStyle w:val=""/>
              </w:rPr>
              <w:t xml:space="preserve">Infrared</w:t>
            </w:r>
          </w:p>
        </w:tc>
      </w:tr>
      <w:tr>
        <w:trPr/>
        <w:tc>
          <w:tcPr>
            <w:tcW w:w="4500" w:type="dxa"/>
            <w:vAlign w:val="top"/>
            <w:noWrap/>
          </w:tcPr>
          <w:p>
            <w:pPr>
              <w:spacing w:after="10"/>
            </w:pPr>
            <w:r>
              <w:rPr>
                <w:rStyle w:val=""/>
              </w:rPr>
              <w:t xml:space="preserve">Dimensions (WxHxD) (extended)</w:t>
            </w:r>
          </w:p>
        </w:tc>
        <w:tc>
          <w:tcPr>
            <w:tcW w:w="4500" w:type="dxa"/>
            <w:vAlign w:val="top"/>
            <w:noWrap/>
          </w:tcPr>
          <w:p>
            <w:pPr>
              <w:spacing w:after="10"/>
            </w:pPr>
            <w:r>
              <w:rPr>
                <w:rStyle w:val=""/>
              </w:rPr>
              <w:t xml:space="preserve">115x91,6mm</w:t>
            </w:r>
          </w:p>
        </w:tc>
      </w:tr>
      <w:tr>
        <w:trPr/>
        <w:tc>
          <w:tcPr>
            <w:tcW w:w="4500" w:type="dxa"/>
            <w:vAlign w:val="top"/>
            <w:noWrap/>
          </w:tcPr>
          <w:p>
            <w:pPr>
              <w:spacing w:after="10"/>
            </w:pPr>
            <w:r>
              <w:rPr>
                <w:rStyle w:val=""/>
              </w:rPr>
              <w:t xml:space="preserve">Illumination range</w:t>
            </w:r>
          </w:p>
        </w:tc>
        <w:tc>
          <w:tcPr>
            <w:tcW w:w="4500" w:type="dxa"/>
            <w:vAlign w:val="top"/>
            <w:noWrap/>
          </w:tcPr>
          <w:p>
            <w:pPr>
              <w:spacing w:after="10"/>
            </w:pPr>
            <w:r>
              <w:rPr>
                <w:rStyle w:val=""/>
              </w:rPr>
              <w:t xml:space="preserve">Approx. 20m</w:t>
            </w:r>
          </w:p>
        </w:tc>
      </w:tr>
      <w:tr>
        <w:trPr/>
        <w:tc>
          <w:tcPr>
            <w:tcW w:w="4500" w:type="dxa"/>
            <w:vAlign w:val="top"/>
            <w:noWrap/>
          </w:tcPr>
          <w:p>
            <w:pPr>
              <w:spacing w:after="10"/>
            </w:pPr>
            <w:r>
              <w:rPr>
                <w:rStyle w:val=""/>
              </w:rPr>
              <w:t xml:space="preserve">ESC</w:t>
            </w:r>
          </w:p>
        </w:tc>
        <w:tc>
          <w:tcPr>
            <w:tcW w:w="4500" w:type="dxa"/>
            <w:vAlign w:val="top"/>
            <w:noWrap/>
          </w:tcPr>
          <w:p>
            <w:pPr>
              <w:spacing w:after="10"/>
            </w:pPr>
            <w:r>
              <w:rPr>
                <w:rStyle w:val=""/>
              </w:rPr>
              <w:t xml:space="preserve">1/5 ~ 1/20.000sec.</w:t>
            </w:r>
          </w:p>
        </w:tc>
      </w:tr>
      <w:tr>
        <w:trPr/>
        <w:tc>
          <w:tcPr>
            <w:tcW w:w="4500" w:type="dxa"/>
            <w:vAlign w:val="top"/>
            <w:noWrap/>
          </w:tcPr>
          <w:p>
            <w:pPr>
              <w:spacing w:after="10"/>
            </w:pPr>
            <w:r>
              <w:rPr>
                <w:rStyle w:val=""/>
              </w:rPr>
              <w:t xml:space="preserve">Weight</w:t>
            </w:r>
          </w:p>
        </w:tc>
        <w:tc>
          <w:tcPr>
            <w:tcW w:w="4500" w:type="dxa"/>
            <w:vAlign w:val="top"/>
            <w:noWrap/>
          </w:tcPr>
          <w:p>
            <w:pPr>
              <w:spacing w:after="10"/>
            </w:pPr>
            <w:r>
              <w:rPr>
                <w:rStyle w:val=""/>
              </w:rPr>
              <w:t xml:space="preserve">0.48 kg</w:t>
            </w:r>
          </w:p>
        </w:tc>
      </w:tr>
      <w:tr>
        <w:trPr/>
        <w:tc>
          <w:tcPr>
            <w:tcW w:w="4500" w:type="dxa"/>
            <w:vAlign w:val="top"/>
            <w:noWrap/>
          </w:tcPr>
          <w:p>
            <w:pPr>
              <w:spacing w:after="10"/>
            </w:pPr>
            <w:r>
              <w:rPr>
                <w:rStyle w:val=""/>
              </w:rPr>
              <w:t xml:space="preserve">SDK</w:t>
            </w:r>
          </w:p>
        </w:tc>
        <w:tc>
          <w:tcPr>
            <w:tcW w:w="4500" w:type="dxa"/>
            <w:vAlign w:val="top"/>
            <w:noWrap/>
          </w:tcPr>
          <w:p>
            <w:pPr>
              <w:spacing w:after="10"/>
            </w:pPr>
            <w:r>
              <w:rPr>
                <w:rStyle w:val=""/>
              </w:rPr>
              <w:t xml:space="preserve">upon request</w:t>
            </w:r>
          </w:p>
        </w:tc>
      </w:tr>
      <w:tr>
        <w:trPr/>
        <w:tc>
          <w:tcPr>
            <w:tcW w:w="4500" w:type="dxa"/>
            <w:vAlign w:val="top"/>
            <w:noWrap/>
          </w:tcPr>
          <w:p>
            <w:pPr>
              <w:spacing w:after="10"/>
            </w:pPr>
            <w:r>
              <w:rPr>
                <w:rStyle w:val=""/>
              </w:rPr>
              <w:t xml:space="preserve">Text overlay</w:t>
            </w:r>
          </w:p>
        </w:tc>
        <w:tc>
          <w:tcPr>
            <w:tcW w:w="4500" w:type="dxa"/>
            <w:vAlign w:val="top"/>
            <w:noWrap/>
          </w:tcPr>
          <w:p>
            <w:pPr>
              <w:spacing w:after="10"/>
            </w:pPr>
            <w:r>
              <w:rPr>
                <w:rStyle w:val=""/>
              </w:rPr>
              <w:t xml:space="preserve">Switchable on/off</w:t>
            </w:r>
          </w:p>
        </w:tc>
      </w:tr>
      <w:tr>
        <w:trPr/>
        <w:tc>
          <w:tcPr>
            <w:tcW w:w="4500" w:type="dxa"/>
            <w:vAlign w:val="top"/>
            <w:noWrap/>
          </w:tcPr>
          <w:p>
            <w:pPr>
              <w:spacing w:after="10"/>
            </w:pPr>
            <w:r>
              <w:rPr>
                <w:rStyle w:val=""/>
              </w:rPr>
              <w:t xml:space="preserve">Color (Housing)</w:t>
            </w:r>
          </w:p>
        </w:tc>
        <w:tc>
          <w:tcPr>
            <w:tcW w:w="4500" w:type="dxa"/>
            <w:vAlign w:val="top"/>
            <w:noWrap/>
          </w:tcPr>
          <w:p>
            <w:pPr>
              <w:spacing w:after="10"/>
            </w:pPr>
            <w:r>
              <w:rPr>
                <w:rStyle w:val=""/>
              </w:rPr>
              <w:t xml:space="preserve">RAL9003,Pantone P 179-1 / Other colors available upon request</w:t>
            </w:r>
          </w:p>
        </w:tc>
      </w:tr>
      <w:tr>
        <w:trPr/>
        <w:tc>
          <w:tcPr>
            <w:tcW w:w="4500" w:type="dxa"/>
            <w:vAlign w:val="top"/>
            <w:noWrap/>
          </w:tcPr>
          <w:p>
            <w:pPr>
              <w:spacing w:after="10"/>
            </w:pPr>
            <w:r>
              <w:rPr>
                <w:rStyle w:val=""/>
              </w:rPr>
              <w:t xml:space="preserve">Color (dome)</w:t>
            </w:r>
          </w:p>
        </w:tc>
        <w:tc>
          <w:tcPr>
            <w:tcW w:w="4500" w:type="dxa"/>
            <w:vAlign w:val="top"/>
            <w:noWrap/>
          </w:tcPr>
          <w:p>
            <w:pPr>
              <w:spacing w:after="10"/>
            </w:pPr>
            <w:r>
              <w:rPr>
                <w:rStyle w:val=""/>
              </w:rPr>
              <w:t xml:space="preserve">clear</w:t>
            </w:r>
          </w:p>
        </w:tc>
      </w:tr>
      <w:tr>
        <w:trPr/>
        <w:tc>
          <w:tcPr>
            <w:tcW w:w="4500" w:type="dxa"/>
            <w:vAlign w:val="top"/>
            <w:noWrap/>
          </w:tcPr>
          <w:p>
            <w:pPr>
              <w:spacing w:after="10"/>
            </w:pPr>
            <w:r>
              <w:rPr>
                <w:rStyle w:val=""/>
              </w:rPr>
              <w:t xml:space="preserve">Housing type</w:t>
            </w:r>
          </w:p>
        </w:tc>
        <w:tc>
          <w:tcPr>
            <w:tcW w:w="4500" w:type="dxa"/>
            <w:vAlign w:val="top"/>
            <w:noWrap/>
          </w:tcPr>
          <w:p>
            <w:pPr>
              <w:spacing w:after="10"/>
            </w:pPr>
            <w:r>
              <w:rPr>
                <w:rStyle w:val=""/>
              </w:rPr>
              <w:t xml:space="preserve">Outside</w:t>
            </w:r>
          </w:p>
        </w:tc>
      </w:tr>
      <w:tr>
        <w:trPr/>
        <w:tc>
          <w:tcPr>
            <w:tcW w:w="4500" w:type="dxa"/>
            <w:vAlign w:val="top"/>
            <w:noWrap/>
          </w:tcPr>
          <w:p>
            <w:pPr>
              <w:spacing w:after="10"/>
            </w:pPr>
            <w:r>
              <w:rPr>
                <w:rStyle w:val=""/>
              </w:rPr>
              <w:t xml:space="preserve">Housing material</w:t>
            </w:r>
          </w:p>
        </w:tc>
        <w:tc>
          <w:tcPr>
            <w:tcW w:w="4500" w:type="dxa"/>
            <w:vAlign w:val="top"/>
            <w:noWrap/>
          </w:tcPr>
          <w:p>
            <w:pPr>
              <w:spacing w:after="10"/>
            </w:pPr>
            <w:r>
              <w:rPr>
                <w:rStyle w:val=""/>
              </w:rPr>
              <w:t xml:space="preserve">Aluminium</w:t>
            </w:r>
          </w:p>
        </w:tc>
      </w:tr>
      <w:tr>
        <w:trPr/>
        <w:tc>
          <w:tcPr>
            <w:tcW w:w="4500" w:type="dxa"/>
            <w:vAlign w:val="top"/>
            <w:noWrap/>
          </w:tcPr>
          <w:p>
            <w:pPr>
              <w:spacing w:after="10"/>
            </w:pPr>
            <w:r>
              <w:rPr>
                <w:rStyle w:val=""/>
              </w:rPr>
              <w:t xml:space="preserve">Camera Type</w:t>
            </w:r>
          </w:p>
        </w:tc>
        <w:tc>
          <w:tcPr>
            <w:tcW w:w="4500" w:type="dxa"/>
            <w:vAlign w:val="top"/>
            <w:noWrap/>
          </w:tcPr>
          <w:p>
            <w:pPr>
              <w:spacing w:after="10"/>
            </w:pPr>
            <w:r>
              <w:rPr>
                <w:rStyle w:val=""/>
              </w:rPr>
              <w:t xml:space="preserve">Domecamera</w:t>
            </w:r>
          </w:p>
        </w:tc>
      </w:tr>
      <w:tr>
        <w:trPr/>
        <w:tc>
          <w:tcPr>
            <w:tcW w:w="4500" w:type="dxa"/>
            <w:vAlign w:val="top"/>
            <w:noWrap/>
          </w:tcPr>
          <w:p>
            <w:pPr>
              <w:spacing w:after="10"/>
            </w:pPr>
            <w:r>
              <w:rPr>
                <w:rStyle w:val=""/>
              </w:rPr>
              <w:t xml:space="preserve">Power consumption</w:t>
            </w:r>
          </w:p>
        </w:tc>
        <w:tc>
          <w:tcPr>
            <w:tcW w:w="4500" w:type="dxa"/>
            <w:vAlign w:val="top"/>
            <w:noWrap/>
          </w:tcPr>
          <w:p>
            <w:pPr>
              <w:spacing w:after="10"/>
            </w:pPr>
            <w:r>
              <w:rPr>
                <w:rStyle w:val=""/>
              </w:rPr>
              <w:t xml:space="preserve">7 W</w:t>
            </w:r>
          </w:p>
        </w:tc>
      </w:tr>
      <w:tr>
        <w:trPr/>
        <w:tc>
          <w:tcPr>
            <w:tcW w:w="4500" w:type="dxa"/>
            <w:vAlign w:val="top"/>
            <w:noWrap/>
          </w:tcPr>
          <w:p>
            <w:pPr>
              <w:spacing w:after="10"/>
            </w:pPr>
            <w:r>
              <w:rPr>
                <w:rStyle w:val=""/>
              </w:rPr>
              <w:t xml:space="preserve">Mounting type</w:t>
            </w:r>
          </w:p>
        </w:tc>
        <w:tc>
          <w:tcPr>
            <w:tcW w:w="4500" w:type="dxa"/>
            <w:vAlign w:val="top"/>
            <w:noWrap/>
          </w:tcPr>
          <w:p>
            <w:pPr>
              <w:spacing w:after="10"/>
            </w:pPr>
            <w:r>
              <w:rPr>
                <w:rStyle w:val=""/>
              </w:rPr>
              <w:t xml:space="preserve">Ceiling, Wall</w:t>
            </w:r>
          </w:p>
        </w:tc>
      </w:tr>
      <w:tr>
        <w:trPr/>
        <w:tc>
          <w:tcPr>
            <w:tcW w:w="4500" w:type="dxa"/>
            <w:vAlign w:val="top"/>
            <w:noWrap/>
          </w:tcPr>
          <w:p>
            <w:pPr>
              <w:spacing w:after="10"/>
            </w:pPr>
            <w:r>
              <w:rPr>
                <w:rStyle w:val=""/>
              </w:rPr>
              <w:t xml:space="preserve">ONVIF</w:t>
            </w:r>
          </w:p>
        </w:tc>
        <w:tc>
          <w:tcPr>
            <w:tcW w:w="4500" w:type="dxa"/>
            <w:vAlign w:val="top"/>
            <w:noWrap/>
          </w:tcPr>
          <w:p>
            <w:pPr>
              <w:spacing w:after="10"/>
            </w:pPr>
            <w:r>
              <w:rPr>
                <w:rStyle w:val=""/>
              </w:rPr>
              <w:t xml:space="preserve">ONVIF Profile G, ONVIF Profile M, ONVIF Profile S, ONVIF Profile T</w:t>
            </w:r>
          </w:p>
        </w:tc>
      </w:tr>
      <w:tr>
        <w:trPr/>
        <w:tc>
          <w:tcPr>
            <w:tcW w:w="4500" w:type="dxa"/>
            <w:vAlign w:val="top"/>
            <w:noWrap/>
          </w:tcPr>
          <w:p>
            <w:pPr>
              <w:spacing w:after="10"/>
            </w:pPr>
            <w:r>
              <w:rPr>
                <w:rStyle w:val=""/>
              </w:rPr>
              <w:t xml:space="preserve">Power over Ethernet</w:t>
            </w:r>
          </w:p>
        </w:tc>
        <w:tc>
          <w:tcPr>
            <w:tcW w:w="4500" w:type="dxa"/>
            <w:vAlign w:val="top"/>
            <w:noWrap/>
          </w:tcPr>
          <w:p>
            <w:pPr>
              <w:spacing w:after="10"/>
            </w:pPr>
            <w:r>
              <w:rPr>
                <w:rStyle w:val=""/>
              </w:rPr>
              <w:t xml:space="preserve">IEEE 802.3af</w:t>
            </w:r>
          </w:p>
        </w:tc>
      </w:tr>
      <w:tr>
        <w:trPr/>
        <w:tc>
          <w:tcPr>
            <w:tcW w:w="4500" w:type="dxa"/>
            <w:vAlign w:val="top"/>
            <w:noWrap/>
          </w:tcPr>
          <w:p>
            <w:pPr>
              <w:spacing w:after="10"/>
            </w:pPr>
            <w:r>
              <w:rPr>
                <w:rStyle w:val=""/>
              </w:rPr>
              <w:t xml:space="preserve">Protection</w:t>
            </w:r>
          </w:p>
        </w:tc>
        <w:tc>
          <w:tcPr>
            <w:tcW w:w="4500" w:type="dxa"/>
            <w:vAlign w:val="top"/>
            <w:noWrap/>
          </w:tcPr>
          <w:p>
            <w:pPr>
              <w:spacing w:after="10"/>
            </w:pPr>
            <w:r>
              <w:rPr>
                <w:rStyle w:val=""/>
              </w:rPr>
              <w:t xml:space="preserve">IP66</w:t>
            </w:r>
          </w:p>
        </w:tc>
      </w:tr>
      <w:tr>
        <w:trPr/>
        <w:tc>
          <w:tcPr>
            <w:tcW w:w="4500" w:type="dxa"/>
            <w:vAlign w:val="top"/>
            <w:noWrap/>
          </w:tcPr>
          <w:p>
            <w:pPr>
              <w:spacing w:after="10"/>
            </w:pPr>
            <w:r>
              <w:rPr>
                <w:rStyle w:val=""/>
              </w:rPr>
              <w:t xml:space="preserve">Power supply</w:t>
            </w:r>
          </w:p>
        </w:tc>
        <w:tc>
          <w:tcPr>
            <w:tcW w:w="4500" w:type="dxa"/>
            <w:vAlign w:val="top"/>
            <w:noWrap/>
          </w:tcPr>
          <w:p>
            <w:pPr>
              <w:spacing w:after="10"/>
            </w:pPr>
            <w:r>
              <w:rPr>
                <w:rStyle w:val=""/>
              </w:rPr>
              <w:t xml:space="preserve">12VDC, Poe</w:t>
            </w:r>
          </w:p>
        </w:tc>
      </w:tr>
      <w:tr>
        <w:trPr/>
        <w:tc>
          <w:tcPr>
            <w:tcW w:w="4500" w:type="dxa"/>
            <w:vAlign w:val="top"/>
            <w:noWrap/>
          </w:tcPr>
          <w:p>
            <w:pPr>
              <w:spacing w:after="10"/>
            </w:pPr>
            <w:r>
              <w:rPr>
                <w:rStyle w:val=""/>
              </w:rPr>
              <w:t xml:space="preserve">Temperature Range (Operating)</w:t>
            </w:r>
          </w:p>
        </w:tc>
        <w:tc>
          <w:tcPr>
            <w:tcW w:w="4500" w:type="dxa"/>
            <w:vAlign w:val="top"/>
            <w:noWrap/>
          </w:tcPr>
          <w:p>
            <w:pPr>
              <w:spacing w:after="10"/>
            </w:pPr>
            <w:r>
              <w:rPr>
                <w:rStyle w:val=""/>
              </w:rPr>
              <w:t xml:space="preserve">-35°C ~ +60°C,@ Luftfeuchtigkeit 90% oder weniger (nicht kondensierend)</w:t>
            </w:r>
          </w:p>
        </w:tc>
      </w:tr>
      <w:tr>
        <w:trPr/>
        <w:tc>
          <w:tcPr>
            <w:tcW w:w="4500" w:type="dxa"/>
            <w:vAlign w:val="top"/>
            <w:noWrap/>
          </w:tcPr>
          <w:p>
            <w:pPr>
              <w:spacing w:after="10"/>
            </w:pPr>
            <w:r>
              <w:rPr>
                <w:rStyle w:val=""/>
              </w:rPr>
              <w:t xml:space="preserve">Wide Dynamic Range (WDR)</w:t>
            </w:r>
          </w:p>
        </w:tc>
        <w:tc>
          <w:tcPr>
            <w:tcW w:w="4500" w:type="dxa"/>
            <w:vAlign w:val="top"/>
            <w:noWrap/>
          </w:tcPr>
          <w:p>
            <w:pPr>
              <w:spacing w:after="10"/>
            </w:pPr>
            <w:r>
              <w:rPr>
                <w:rStyle w:val=""/>
              </w:rPr>
              <w:t xml:space="preserve">120dB, D-WDR</w:t>
            </w:r>
          </w:p>
        </w:tc>
      </w:tr>
      <w:tr>
        <w:trPr/>
        <w:tc>
          <w:tcPr>
            <w:tcW w:w="4500" w:type="dxa"/>
            <w:vAlign w:val="top"/>
            <w:noWrap/>
          </w:tcPr>
          <w:p>
            <w:pPr>
              <w:spacing w:after="10"/>
            </w:pPr>
            <w:r>
              <w:rPr>
                <w:rStyle w:val=""/>
              </w:rPr>
              <w:t xml:space="preserve">Certifications</w:t>
            </w:r>
          </w:p>
        </w:tc>
        <w:tc>
          <w:tcPr>
            <w:tcW w:w="4500" w:type="dxa"/>
            <w:vAlign w:val="top"/>
            <w:noWrap/>
          </w:tcPr>
          <w:p>
            <w:pPr>
              <w:spacing w:after="10"/>
            </w:pPr>
            <w:r>
              <w:rPr>
                <w:rStyle w:val=""/>
              </w:rPr>
              <w:t xml:space="preserve">IK10</w:t>
            </w:r>
          </w:p>
        </w:tc>
      </w:tr>
      <w:tr>
        <w:trPr/>
        <w:tc>
          <w:tcPr>
            <w:tcW w:w="4500" w:type="dxa"/>
            <w:vAlign w:val="top"/>
            <w:noWrap/>
          </w:tcPr>
          <w:p>
            <w:pPr>
              <w:spacing w:after="10"/>
            </w:pPr>
            <w:r>
              <w:rPr>
                <w:rStyle w:val=""/>
              </w:rPr>
              <w:t xml:space="preserve">Camera</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Backlight compensation</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Low Speed Shutter</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Resolution standard</w:t>
            </w:r>
          </w:p>
        </w:tc>
        <w:tc>
          <w:tcPr>
            <w:tcW w:w="4500" w:type="dxa"/>
            <w:vAlign w:val="top"/>
            <w:noWrap/>
          </w:tcPr>
          <w:p>
            <w:pPr>
              <w:spacing w:after="10"/>
            </w:pPr>
            <w:r>
              <w:rPr>
                <w:rStyle w:val=""/>
              </w:rPr>
              <w:t xml:space="preserve">2 MP</w:t>
            </w:r>
          </w:p>
        </w:tc>
      </w:tr>
      <w:tr>
        <w:trPr/>
        <w:tc>
          <w:tcPr>
            <w:tcW w:w="4500" w:type="dxa"/>
            <w:vAlign w:val="top"/>
            <w:noWrap/>
          </w:tcPr>
          <w:p>
            <w:pPr>
              <w:spacing w:after="10"/>
            </w:pPr>
            <w:r>
              <w:rPr>
                <w:rStyle w:val=""/>
              </w:rPr>
              <w:t xml:space="preserve">Recording sensor</w:t>
            </w:r>
          </w:p>
        </w:tc>
        <w:tc>
          <w:tcPr>
            <w:tcW w:w="4500" w:type="dxa"/>
            <w:vAlign w:val="top"/>
            <w:noWrap/>
          </w:tcPr>
          <w:p>
            <w:pPr>
              <w:spacing w:after="10"/>
            </w:pPr>
            <w:r>
              <w:rPr>
                <w:rStyle w:val=""/>
              </w:rPr>
              <w:t xml:space="preserve">CMOS, Sony IMX307</w:t>
            </w:r>
          </w:p>
        </w:tc>
      </w:tr>
      <w:tr>
        <w:trPr/>
        <w:tc>
          <w:tcPr>
            <w:tcW w:w="4500" w:type="dxa"/>
            <w:vAlign w:val="top"/>
            <w:noWrap/>
          </w:tcPr>
          <w:p>
            <w:pPr>
              <w:spacing w:after="10"/>
            </w:pPr>
            <w:r>
              <w:rPr>
                <w:rStyle w:val=""/>
              </w:rPr>
              <w:t xml:space="preserve">Chip size</w:t>
            </w:r>
          </w:p>
        </w:tc>
        <w:tc>
          <w:tcPr>
            <w:tcW w:w="4500" w:type="dxa"/>
            <w:vAlign w:val="top"/>
            <w:noWrap/>
          </w:tcPr>
          <w:p>
            <w:pPr>
              <w:spacing w:after="10"/>
            </w:pPr>
            <w:r>
              <w:rPr>
                <w:rStyle w:val=""/>
              </w:rPr>
              <w:t xml:space="preserve">1/2,8"</w:t>
            </w:r>
          </w:p>
        </w:tc>
      </w:tr>
      <w:tr>
        <w:trPr/>
        <w:tc>
          <w:tcPr>
            <w:tcW w:w="4500" w:type="dxa"/>
            <w:vAlign w:val="top"/>
            <w:noWrap/>
          </w:tcPr>
          <w:p>
            <w:pPr>
              <w:spacing w:after="10"/>
            </w:pPr>
            <w:r>
              <w:rPr>
                <w:rStyle w:val=""/>
              </w:rPr>
              <w:t xml:space="preserve">Flickerless function</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Camera shape</w:t>
            </w:r>
          </w:p>
        </w:tc>
        <w:tc>
          <w:tcPr>
            <w:tcW w:w="4500" w:type="dxa"/>
            <w:vAlign w:val="top"/>
            <w:noWrap/>
          </w:tcPr>
          <w:p>
            <w:pPr>
              <w:spacing w:after="10"/>
            </w:pPr>
            <w:r>
              <w:rPr>
                <w:rStyle w:val=""/>
              </w:rPr>
              <w:t xml:space="preserve">Minsters</w:t>
            </w:r>
          </w:p>
        </w:tc>
      </w:tr>
      <w:tr>
        <w:trPr/>
        <w:tc>
          <w:tcPr>
            <w:tcW w:w="4500" w:type="dxa"/>
            <w:vAlign w:val="top"/>
            <w:noWrap/>
          </w:tcPr>
          <w:p>
            <w:pPr>
              <w:spacing w:after="10"/>
            </w:pPr>
            <w:r>
              <w:rPr>
                <w:rStyle w:val=""/>
              </w:rPr>
              <w:t xml:space="preserve">Manual Electric Shutter (MES)</w:t>
            </w:r>
          </w:p>
        </w:tc>
        <w:tc>
          <w:tcPr>
            <w:tcW w:w="4500" w:type="dxa"/>
            <w:vAlign w:val="top"/>
            <w:noWrap/>
          </w:tcPr>
          <w:p>
            <w:pPr>
              <w:spacing w:after="10"/>
            </w:pPr>
            <w:r>
              <w:rPr>
                <w:rStyle w:val=""/>
              </w:rPr>
              <w:t xml:space="preserve">1-5~1-20,000sec.</w:t>
            </w:r>
          </w:p>
        </w:tc>
      </w:tr>
      <w:tr>
        <w:trPr/>
        <w:tc>
          <w:tcPr>
            <w:tcW w:w="4500" w:type="dxa"/>
            <w:vAlign w:val="top"/>
            <w:noWrap/>
          </w:tcPr>
          <w:p>
            <w:pPr>
              <w:spacing w:after="10"/>
            </w:pPr>
            <w:r>
              <w:rPr>
                <w:rStyle w:val=""/>
              </w:rPr>
              <w:t xml:space="preserve">Signal-to-noise ratio</w:t>
            </w:r>
          </w:p>
        </w:tc>
        <w:tc>
          <w:tcPr>
            <w:tcW w:w="4500" w:type="dxa"/>
            <w:vAlign w:val="top"/>
            <w:noWrap/>
          </w:tcPr>
          <w:p>
            <w:pPr>
              <w:spacing w:after="10"/>
            </w:pPr>
            <w:r>
              <w:rPr>
                <w:rStyle w:val=""/>
              </w:rPr>
              <w:t xml:space="preserve">36 dB</w:t>
            </w:r>
          </w:p>
        </w:tc>
      </w:tr>
      <w:tr>
        <w:trPr/>
        <w:tc>
          <w:tcPr>
            <w:tcW w:w="4500" w:type="dxa"/>
            <w:vAlign w:val="top"/>
            <w:noWrap/>
          </w:tcPr>
          <w:p>
            <w:pPr>
              <w:spacing w:after="10"/>
            </w:pPr>
            <w:r>
              <w:rPr>
                <w:rStyle w:val=""/>
              </w:rPr>
              <w:t xml:space="preserve">Day/night mode</w:t>
            </w:r>
          </w:p>
        </w:tc>
        <w:tc>
          <w:tcPr>
            <w:tcW w:w="4500" w:type="dxa"/>
            <w:vAlign w:val="top"/>
            <w:noWrap/>
          </w:tcPr>
          <w:p>
            <w:pPr>
              <w:spacing w:after="10"/>
            </w:pPr>
            <w:r>
              <w:rPr>
                <w:rStyle w:val=""/>
              </w:rPr>
              <w:t xml:space="preserve">Automatic,Day,Night,Image,Time</w:t>
            </w:r>
          </w:p>
        </w:tc>
      </w:tr>
      <w:tr>
        <w:trPr/>
        <w:tc>
          <w:tcPr>
            <w:tcW w:w="4500" w:type="dxa"/>
            <w:vAlign w:val="top"/>
            <w:noWrap/>
          </w:tcPr>
          <w:p>
            <w:pPr>
              <w:spacing w:after="10"/>
            </w:pPr>
            <w:r>
              <w:rPr>
                <w:rStyle w:val=""/>
              </w:rPr>
              <w:t xml:space="preserve">White balance</w:t>
            </w:r>
          </w:p>
        </w:tc>
        <w:tc>
          <w:tcPr>
            <w:tcW w:w="4500" w:type="dxa"/>
            <w:vAlign w:val="top"/>
            <w:noWrap/>
          </w:tcPr>
          <w:p>
            <w:pPr>
              <w:spacing w:after="10"/>
            </w:pPr>
            <w:r>
              <w:rPr>
                <w:rStyle w:val=""/>
              </w:rPr>
              <w:t xml:space="preserve">Automatic,Manual</w:t>
            </w:r>
          </w:p>
        </w:tc>
      </w:tr>
      <w:tr>
        <w:trPr/>
        <w:tc>
          <w:tcPr>
            <w:tcW w:w="4500" w:type="dxa"/>
            <w:vAlign w:val="top"/>
            <w:noWrap/>
          </w:tcPr>
          <w:p>
            <w:pPr>
              <w:spacing w:after="10"/>
            </w:pPr>
            <w:r>
              <w:rPr>
                <w:rStyle w:val=""/>
              </w:rPr>
              <w:t xml:space="preserve">Photosensitivity</w:t>
            </w:r>
          </w:p>
        </w:tc>
        <w:tc>
          <w:tcPr>
            <w:tcW w:w="4500" w:type="dxa"/>
            <w:vAlign w:val="top"/>
            <w:noWrap/>
          </w:tcPr>
          <w:p>
            <w:pPr>
              <w:spacing w:after="10"/>
            </w:pPr>
            <w:r>
              <w:rPr>
                <w:rStyle w:val=""/>
              </w:rPr>
              <w:t xml:space="preserve">0,002 Lux bei F1,2</w:t>
            </w:r>
          </w:p>
        </w:tc>
      </w:tr>
      <w:tr>
        <w:trPr/>
        <w:tc>
          <w:tcPr>
            <w:tcW w:w="4500" w:type="dxa"/>
            <w:vAlign w:val="top"/>
            <w:noWrap/>
          </w:tcPr>
          <w:p>
            <w:pPr>
              <w:spacing w:after="10"/>
            </w:pPr>
            <w:r>
              <w:rPr>
                <w:rStyle w:val=""/>
              </w:rPr>
              <w:t xml:space="preserve">System</w:t>
            </w:r>
          </w:p>
        </w:tc>
        <w:tc>
          <w:tcPr>
            <w:tcW w:w="4500" w:type="dxa"/>
            <w:vAlign w:val="top"/>
            <w:noWrap/>
          </w:tcPr>
          <w:p>
            <w:pPr>
              <w:spacing w:after="10"/>
            </w:pPr>
            <w:r>
              <w:rPr>
                <w:rStyle w:val=""/>
              </w:rPr>
              <w:t xml:space="preserve">True Day&amp;Night</w:t>
            </w:r>
          </w:p>
        </w:tc>
      </w:tr>
      <w:tr>
        <w:trPr/>
        <w:tc>
          <w:tcPr>
            <w:tcW w:w="4500" w:type="dxa"/>
            <w:vAlign w:val="top"/>
            <w:noWrap/>
          </w:tcPr>
          <w:p>
            <w:pPr>
              <w:spacing w:after="10"/>
            </w:pPr>
            <w:r>
              <w:rPr>
                <w:rStyle w:val=""/>
              </w:rPr>
              <w:t xml:space="preserve">Day/night switching</w:t>
            </w:r>
          </w:p>
        </w:tc>
        <w:tc>
          <w:tcPr>
            <w:tcW w:w="4500" w:type="dxa"/>
            <w:vAlign w:val="top"/>
            <w:noWrap/>
          </w:tcPr>
          <w:p>
            <w:pPr>
              <w:spacing w:after="10"/>
            </w:pPr>
            <w:r>
              <w:rPr>
                <w:rStyle w:val=""/>
              </w:rPr>
              <w:t xml:space="preserve">Switchable IR Filter (ICR)</w:t>
            </w:r>
          </w:p>
        </w:tc>
      </w:tr>
      <w:tr>
        <w:trPr/>
        <w:tc>
          <w:tcPr>
            <w:tcW w:w="4500" w:type="dxa"/>
            <w:vAlign w:val="top"/>
            <w:noWrap/>
          </w:tcPr>
          <w:p>
            <w:pPr>
              <w:spacing w:after="10"/>
            </w:pPr>
            <w:r>
              <w:rPr>
                <w:rStyle w:val=""/>
              </w:rPr>
              <w:t xml:space="preserve">Display</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Image resolution max.</w:t>
            </w:r>
          </w:p>
        </w:tc>
        <w:tc>
          <w:tcPr>
            <w:tcW w:w="4500" w:type="dxa"/>
            <w:vAlign w:val="top"/>
            <w:noWrap/>
          </w:tcPr>
          <w:p>
            <w:pPr>
              <w:spacing w:after="10"/>
            </w:pPr>
            <w:r>
              <w:rPr>
                <w:rStyle w:val=""/>
              </w:rPr>
              <w:t xml:space="preserve">1920x1080</w:t>
            </w:r>
          </w:p>
        </w:tc>
      </w:tr>
      <w:tr>
        <w:trPr/>
        <w:tc>
          <w:tcPr>
            <w:tcW w:w="4500" w:type="dxa"/>
            <w:vAlign w:val="top"/>
            <w:noWrap/>
          </w:tcPr>
          <w:p>
            <w:pPr>
              <w:spacing w:after="10"/>
            </w:pPr>
            <w:r>
              <w:rPr>
                <w:rStyle w:val=""/>
              </w:rPr>
              <w:t xml:space="preserve">DORI</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Watch (62px/m)</w:t>
            </w:r>
          </w:p>
        </w:tc>
        <w:tc>
          <w:tcPr>
            <w:tcW w:w="4500" w:type="dxa"/>
            <w:vAlign w:val="top"/>
            <w:noWrap/>
          </w:tcPr>
          <w:p>
            <w:pPr>
              <w:spacing w:after="10"/>
            </w:pPr>
            <w:r>
              <w:rPr>
                <w:rStyle w:val=""/>
              </w:rPr>
              <w:t xml:space="preserve">16,8 - 39,3 m</w:t>
            </w:r>
          </w:p>
        </w:tc>
      </w:tr>
      <w:tr>
        <w:trPr/>
        <w:tc>
          <w:tcPr>
            <w:tcW w:w="4500" w:type="dxa"/>
            <w:vAlign w:val="top"/>
            <w:noWrap/>
          </w:tcPr>
          <w:p>
            <w:pPr>
              <w:spacing w:after="10"/>
            </w:pPr>
            <w:r>
              <w:rPr>
                <w:rStyle w:val=""/>
              </w:rPr>
              <w:t xml:space="preserve">Detect (125px/m)</w:t>
            </w:r>
          </w:p>
        </w:tc>
        <w:tc>
          <w:tcPr>
            <w:tcW w:w="4500" w:type="dxa"/>
            <w:vAlign w:val="top"/>
            <w:noWrap/>
          </w:tcPr>
          <w:p>
            <w:pPr>
              <w:spacing w:after="10"/>
            </w:pPr>
            <w:r>
              <w:rPr>
                <w:rStyle w:val=""/>
              </w:rPr>
              <w:t xml:space="preserve">7,4 - 19,3 m</w:t>
            </w:r>
          </w:p>
        </w:tc>
      </w:tr>
      <w:tr>
        <w:trPr/>
        <w:tc>
          <w:tcPr>
            <w:tcW w:w="4500" w:type="dxa"/>
            <w:vAlign w:val="top"/>
            <w:noWrap/>
          </w:tcPr>
          <w:p>
            <w:pPr>
              <w:spacing w:after="10"/>
            </w:pPr>
            <w:r>
              <w:rPr>
                <w:rStyle w:val=""/>
              </w:rPr>
              <w:t xml:space="preserve">Identify (250px/m)</w:t>
            </w:r>
          </w:p>
        </w:tc>
        <w:tc>
          <w:tcPr>
            <w:tcW w:w="4500" w:type="dxa"/>
            <w:vAlign w:val="top"/>
            <w:noWrap/>
          </w:tcPr>
          <w:p>
            <w:pPr>
              <w:spacing w:after="10"/>
            </w:pPr>
            <w:r>
              <w:rPr>
                <w:rStyle w:val=""/>
              </w:rPr>
              <w:t xml:space="preserve">2,7 - 9,7 m</w:t>
            </w:r>
          </w:p>
        </w:tc>
      </w:tr>
      <w:tr>
        <w:trPr/>
        <w:tc>
          <w:tcPr>
            <w:tcW w:w="4500" w:type="dxa"/>
            <w:vAlign w:val="top"/>
            <w:noWrap/>
          </w:tcPr>
          <w:p>
            <w:pPr>
              <w:spacing w:after="10"/>
            </w:pPr>
            <w:r>
              <w:rPr>
                <w:rStyle w:val=""/>
              </w:rPr>
              <w:t xml:space="preserve">Perceiving (25px/m)</w:t>
            </w:r>
          </w:p>
        </w:tc>
        <w:tc>
          <w:tcPr>
            <w:tcW w:w="4500" w:type="dxa"/>
            <w:vAlign w:val="top"/>
            <w:noWrap/>
          </w:tcPr>
          <w:p>
            <w:pPr>
              <w:spacing w:after="10"/>
            </w:pPr>
            <w:r>
              <w:rPr>
                <w:rStyle w:val=""/>
              </w:rPr>
              <w:t xml:space="preserve">45,7 - 99,5 m</w:t>
            </w:r>
          </w:p>
        </w:tc>
      </w:tr>
      <w:tr>
        <w:trPr/>
        <w:tc>
          <w:tcPr>
            <w:tcW w:w="4500" w:type="dxa"/>
            <w:vAlign w:val="top"/>
            <w:noWrap/>
          </w:tcPr>
          <w:p>
            <w:pPr>
              <w:spacing w:after="10"/>
            </w:pPr>
            <w:r>
              <w:rPr>
                <w:rStyle w:val=""/>
              </w:rPr>
              <w:t xml:space="preserve">Functions</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Audio support</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Motion detector</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Digital Noise Reduction (DNR)</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Multicast</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Analysis</w:t>
            </w:r>
          </w:p>
        </w:tc>
        <w:tc>
          <w:tcPr>
            <w:tcW w:w="4500" w:type="dxa"/>
            <w:vAlign w:val="top"/>
            <w:noWrap/>
          </w:tcPr>
          <w:p>
            <w:pPr>
              <w:spacing w:after="10"/>
            </w:pPr>
            <w:r>
              <w:rPr>
                <w:rStyle w:val=""/>
              </w:rPr>
              <w:t xml:space="preserve">Abandoned and Removed Objects (SOD), Attendance (FA), Crowds (CD), Enter Region, Face Attributes (AD), Face Capture (FD), Face Recognition (FR), Heat Map (HM), Intrusion (PID), Leave Region, License plate recognition (LPD), License plate recognition (LPR), Line crossing (LCD), Manipulation (TD), Object Classification Human / Vehicle (PD&amp;VD), Passage count (CC), Queues (QD), Rare Sounds (RSD)</w:t>
            </w:r>
          </w:p>
        </w:tc>
      </w:tr>
      <w:tr>
        <w:trPr/>
        <w:tc>
          <w:tcPr>
            <w:tcW w:w="4500" w:type="dxa"/>
            <w:vAlign w:val="top"/>
            <w:noWrap/>
          </w:tcPr>
          <w:p>
            <w:pPr>
              <w:spacing w:after="10"/>
            </w:pPr>
            <w:r>
              <w:rPr>
                <w:rStyle w:val=""/>
              </w:rPr>
              <w:t xml:space="preserve">Turning range</w:t>
            </w:r>
          </w:p>
        </w:tc>
        <w:tc>
          <w:tcPr>
            <w:tcW w:w="4500" w:type="dxa"/>
            <w:vAlign w:val="top"/>
            <w:noWrap/>
          </w:tcPr>
          <w:p>
            <w:pPr>
              <w:spacing w:after="10"/>
            </w:pPr>
            <w:r>
              <w:rPr>
                <w:rStyle w:val=""/>
              </w:rPr>
              <w:t xml:space="preserve">350 °</w:t>
            </w:r>
          </w:p>
        </w:tc>
      </w:tr>
      <w:tr>
        <w:trPr/>
        <w:tc>
          <w:tcPr>
            <w:tcW w:w="4500" w:type="dxa"/>
            <w:vAlign w:val="top"/>
            <w:noWrap/>
          </w:tcPr>
          <w:p>
            <w:pPr>
              <w:spacing w:after="10"/>
            </w:pPr>
            <w:r>
              <w:rPr>
                <w:rStyle w:val=""/>
              </w:rPr>
              <w:t xml:space="preserve">Alarm processing</w:t>
            </w:r>
          </w:p>
        </w:tc>
        <w:tc>
          <w:tcPr>
            <w:tcW w:w="4500" w:type="dxa"/>
            <w:vAlign w:val="top"/>
            <w:noWrap/>
          </w:tcPr>
          <w:p>
            <w:pPr>
              <w:spacing w:after="10"/>
            </w:pPr>
            <w:r>
              <w:rPr>
                <w:rStyle w:val=""/>
              </w:rPr>
              <w:t xml:space="preserve">recording internal storage (SD card),E-Mail,HTTP,FTP,TCP,UDP,alarm out,Cloud Upload</w:t>
            </w:r>
          </w:p>
        </w:tc>
      </w:tr>
      <w:tr>
        <w:trPr/>
        <w:tc>
          <w:tcPr>
            <w:tcW w:w="4500" w:type="dxa"/>
            <w:vAlign w:val="top"/>
            <w:noWrap/>
          </w:tcPr>
          <w:p>
            <w:pPr>
              <w:spacing w:after="10"/>
            </w:pPr>
            <w:r>
              <w:rPr>
                <w:rStyle w:val=""/>
              </w:rPr>
              <w:t xml:space="preserve">Audio</w:t>
            </w:r>
          </w:p>
        </w:tc>
        <w:tc>
          <w:tcPr>
            <w:tcW w:w="4500" w:type="dxa"/>
            <w:vAlign w:val="top"/>
            <w:noWrap/>
          </w:tcPr>
          <w:p>
            <w:pPr>
              <w:spacing w:after="10"/>
            </w:pPr>
            <w:r>
              <w:rPr>
                <w:rStyle w:val=""/>
              </w:rPr>
              <w:t xml:space="preserve">2 Way Audio</w:t>
            </w:r>
          </w:p>
        </w:tc>
      </w:tr>
      <w:tr>
        <w:trPr/>
        <w:tc>
          <w:tcPr>
            <w:tcW w:w="4500" w:type="dxa"/>
            <w:vAlign w:val="top"/>
            <w:noWrap/>
          </w:tcPr>
          <w:p>
            <w:pPr>
              <w:spacing w:after="10"/>
            </w:pPr>
            <w:r>
              <w:rPr>
                <w:rStyle w:val=""/>
              </w:rPr>
              <w:t xml:space="preserve">Browser</w:t>
            </w:r>
          </w:p>
        </w:tc>
        <w:tc>
          <w:tcPr>
            <w:tcW w:w="4500" w:type="dxa"/>
            <w:vAlign w:val="top"/>
            <w:noWrap/>
          </w:tcPr>
          <w:p>
            <w:pPr>
              <w:spacing w:after="10"/>
            </w:pPr>
            <w:r>
              <w:rPr>
                <w:rStyle w:val=""/>
              </w:rPr>
              <w:t xml:space="preserve">Edge, Firefox, Google Chrome, Safari</w:t>
            </w:r>
          </w:p>
        </w:tc>
      </w:tr>
      <w:tr>
        <w:trPr/>
        <w:tc>
          <w:tcPr>
            <w:tcW w:w="4500" w:type="dxa"/>
            <w:vAlign w:val="top"/>
            <w:noWrap/>
          </w:tcPr>
          <w:p>
            <w:pPr>
              <w:spacing w:after="10"/>
            </w:pPr>
            <w:r>
              <w:rPr>
                <w:rStyle w:val=""/>
              </w:rPr>
              <w:t xml:space="preserve">Menu languages</w:t>
            </w:r>
          </w:p>
        </w:tc>
        <w:tc>
          <w:tcPr>
            <w:tcW w:w="4500" w:type="dxa"/>
            <w:vAlign w:val="top"/>
            <w:noWrap/>
          </w:tcPr>
          <w:p>
            <w:pPr>
              <w:spacing w:after="10"/>
            </w:pPr>
            <w:r>
              <w:rPr>
                <w:rStyle w:val=""/>
              </w:rPr>
              <w:t xml:space="preserve">English, French, German, Italian, Japanese, Portuguese, Russian, Spanish, Turkish</w:t>
            </w:r>
          </w:p>
        </w:tc>
      </w:tr>
      <w:tr>
        <w:trPr/>
        <w:tc>
          <w:tcPr>
            <w:tcW w:w="4500" w:type="dxa"/>
            <w:vAlign w:val="top"/>
            <w:noWrap/>
          </w:tcPr>
          <w:p>
            <w:pPr>
              <w:spacing w:after="10"/>
            </w:pPr>
            <w:r>
              <w:rPr>
                <w:rStyle w:val=""/>
              </w:rPr>
              <w:t xml:space="preserve">Password</w:t>
            </w:r>
          </w:p>
        </w:tc>
        <w:tc>
          <w:tcPr>
            <w:tcW w:w="4500" w:type="dxa"/>
            <w:vAlign w:val="top"/>
            <w:noWrap/>
          </w:tcPr>
          <w:p>
            <w:pPr>
              <w:spacing w:after="10"/>
            </w:pPr>
            <w:r>
              <w:rPr>
                <w:rStyle w:val=""/>
              </w:rPr>
              <w:t xml:space="preserve">Administrator and User</w:t>
            </w:r>
          </w:p>
        </w:tc>
      </w:tr>
      <w:tr>
        <w:trPr/>
        <w:tc>
          <w:tcPr>
            <w:tcW w:w="4500" w:type="dxa"/>
            <w:vAlign w:val="top"/>
            <w:noWrap/>
          </w:tcPr>
          <w:p>
            <w:pPr>
              <w:spacing w:after="10"/>
            </w:pPr>
            <w:r>
              <w:rPr>
                <w:rStyle w:val=""/>
              </w:rPr>
              <w:t xml:space="preserve">Privacy Zone</w:t>
            </w:r>
          </w:p>
        </w:tc>
        <w:tc>
          <w:tcPr>
            <w:tcW w:w="4500" w:type="dxa"/>
            <w:vAlign w:val="top"/>
            <w:noWrap/>
          </w:tcPr>
          <w:p>
            <w:pPr>
              <w:spacing w:after="10"/>
            </w:pPr>
            <w:r>
              <w:rPr>
                <w:rStyle w:val=""/>
              </w:rPr>
              <w:t xml:space="preserve">Areas-ON/OFF switchable</w:t>
            </w:r>
          </w:p>
        </w:tc>
      </w:tr>
      <w:tr>
        <w:trPr/>
        <w:tc>
          <w:tcPr>
            <w:tcW w:w="4500" w:type="dxa"/>
            <w:vAlign w:val="top"/>
            <w:noWrap/>
          </w:tcPr>
          <w:p>
            <w:pPr>
              <w:spacing w:after="10"/>
            </w:pPr>
            <w:r>
              <w:rPr>
                <w:rStyle w:val=""/>
              </w:rPr>
              <w:t xml:space="preserve">Vertical tilt range</w:t>
            </w:r>
          </w:p>
        </w:tc>
        <w:tc>
          <w:tcPr>
            <w:tcW w:w="4500" w:type="dxa"/>
            <w:vAlign w:val="top"/>
            <w:noWrap/>
          </w:tcPr>
          <w:p>
            <w:pPr>
              <w:spacing w:after="10"/>
            </w:pPr>
            <w:r>
              <w:rPr>
                <w:rStyle w:val=""/>
              </w:rPr>
              <w:t xml:space="preserve">0~ +80°</w:t>
            </w:r>
          </w:p>
        </w:tc>
      </w:tr>
      <w:tr>
        <w:trPr/>
        <w:tc>
          <w:tcPr>
            <w:tcW w:w="4500" w:type="dxa"/>
            <w:vAlign w:val="top"/>
            <w:noWrap/>
          </w:tcPr>
          <w:p>
            <w:pPr>
              <w:spacing w:after="10"/>
            </w:pPr>
            <w:r>
              <w:rPr>
                <w:rStyle w:val=""/>
              </w:rPr>
              <w:t xml:space="preserve">Internal memory</w:t>
            </w:r>
          </w:p>
        </w:tc>
        <w:tc>
          <w:tcPr>
            <w:tcW w:w="4500" w:type="dxa"/>
            <w:vAlign w:val="top"/>
            <w:noWrap/>
          </w:tcPr>
          <w:p>
            <w:pPr>
              <w:spacing w:after="10"/>
            </w:pPr>
            <w:r>
              <w:rPr>
                <w:rStyle w:val=""/>
              </w:rPr>
              <w:t xml:space="preserve">microSD card slot</w:t>
            </w:r>
          </w:p>
        </w:tc>
      </w:tr>
      <w:tr>
        <w:trPr/>
        <w:tc>
          <w:tcPr>
            <w:tcW w:w="4500" w:type="dxa"/>
            <w:vAlign w:val="top"/>
            <w:noWrap/>
          </w:tcPr>
          <w:p>
            <w:pPr>
              <w:spacing w:after="10"/>
            </w:pPr>
            <w:r>
              <w:rPr>
                <w:rStyle w:val=""/>
              </w:rPr>
              <w:t xml:space="preserve">Notes</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Remark</w:t>
            </w:r>
          </w:p>
        </w:tc>
        <w:tc>
          <w:tcPr>
            <w:tcW w:w="4500" w:type="dxa"/>
            <w:vAlign w:val="top"/>
            <w:noWrap/>
          </w:tcPr>
          <w:p>
            <w:pPr>
              <w:spacing w:after="10"/>
            </w:pPr>
            <w:r>
              <w:rPr>
                <w:rStyle w:val=""/>
              </w:rPr>
              <w:t xml:space="preserve">Face and license plate recognition require an SD card or an eneo IN recorder. For optimal results,use only eneo components. For mixed brands,we offer a compatibility check for a fee (info: item #229235 at VIDEOR).</w:t>
            </w:r>
          </w:p>
        </w:tc>
      </w:tr>
      <w:tr>
        <w:trPr/>
        <w:tc>
          <w:tcPr>
            <w:tcW w:w="4500" w:type="dxa"/>
            <w:vAlign w:val="top"/>
            <w:noWrap/>
          </w:tcPr>
          <w:p>
            <w:pPr>
              <w:spacing w:after="10"/>
            </w:pPr>
            <w:r>
              <w:rPr>
                <w:rStyle w:val=""/>
              </w:rPr>
              <w:t xml:space="preserve">Interfaces / Inputs/ Outputs</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Alarm inputs</w:t>
            </w:r>
          </w:p>
        </w:tc>
        <w:tc>
          <w:tcPr>
            <w:tcW w:w="4500" w:type="dxa"/>
            <w:vAlign w:val="top"/>
            <w:noWrap/>
          </w:tcPr>
          <w:p>
            <w:pPr>
              <w:spacing w:after="10"/>
            </w:pPr>
            <w:r>
              <w:rPr>
                <w:rStyle w:val=""/>
              </w:rPr>
              <w:t xml:space="preserve">1</w:t>
            </w:r>
          </w:p>
        </w:tc>
      </w:tr>
      <w:tr>
        <w:trPr/>
        <w:tc>
          <w:tcPr>
            <w:tcW w:w="4500" w:type="dxa"/>
            <w:vAlign w:val="top"/>
            <w:noWrap/>
          </w:tcPr>
          <w:p>
            <w:pPr>
              <w:spacing w:after="10"/>
            </w:pPr>
            <w:r>
              <w:rPr>
                <w:rStyle w:val=""/>
              </w:rPr>
              <w:t xml:space="preserve">External connections</w:t>
            </w:r>
          </w:p>
        </w:tc>
        <w:tc>
          <w:tcPr>
            <w:tcW w:w="4500" w:type="dxa"/>
            <w:vAlign w:val="top"/>
            <w:noWrap/>
          </w:tcPr>
          <w:p>
            <w:pPr>
              <w:spacing w:after="10"/>
            </w:pPr>
            <w:r>
              <w:rPr>
                <w:rStyle w:val=""/>
              </w:rPr>
              <w:t xml:space="preserve">RJ-45,Alarm in/output,Audio input/output,12VDC input (DC plug),connection cable approx.45cm,micro SD card slot 256 GB</w:t>
            </w:r>
          </w:p>
        </w:tc>
      </w:tr>
      <w:tr>
        <w:trPr/>
        <w:tc>
          <w:tcPr>
            <w:tcW w:w="4500" w:type="dxa"/>
            <w:vAlign w:val="top"/>
            <w:noWrap/>
          </w:tcPr>
          <w:p>
            <w:pPr>
              <w:spacing w:after="10"/>
            </w:pPr>
            <w:r>
              <w:rPr>
                <w:rStyle w:val=""/>
              </w:rPr>
              <w:t xml:space="preserve">Ethernet interface</w:t>
            </w:r>
          </w:p>
        </w:tc>
        <w:tc>
          <w:tcPr>
            <w:tcW w:w="4500" w:type="dxa"/>
            <w:vAlign w:val="top"/>
            <w:noWrap/>
          </w:tcPr>
          <w:p>
            <w:pPr>
              <w:spacing w:after="10"/>
            </w:pPr>
            <w:r>
              <w:rPr>
                <w:rStyle w:val=""/>
              </w:rPr>
              <w:t xml:space="preserve">100Base-TX, 10Base-T</w:t>
            </w:r>
          </w:p>
        </w:tc>
      </w:tr>
      <w:tr>
        <w:trPr/>
        <w:tc>
          <w:tcPr>
            <w:tcW w:w="4500" w:type="dxa"/>
            <w:vAlign w:val="top"/>
            <w:noWrap/>
          </w:tcPr>
          <w:p>
            <w:pPr>
              <w:spacing w:after="10"/>
            </w:pPr>
            <w:r>
              <w:rPr>
                <w:rStyle w:val=""/>
              </w:rPr>
              <w:t xml:space="preserve">Control Interfaces</w:t>
            </w:r>
          </w:p>
        </w:tc>
        <w:tc>
          <w:tcPr>
            <w:tcW w:w="4500" w:type="dxa"/>
            <w:vAlign w:val="top"/>
            <w:noWrap/>
          </w:tcPr>
          <w:p>
            <w:pPr>
              <w:spacing w:after="10"/>
            </w:pPr>
            <w:r>
              <w:rPr>
                <w:rStyle w:val=""/>
              </w:rPr>
              <w:t xml:space="preserve">Ethernet</w:t>
            </w:r>
          </w:p>
        </w:tc>
      </w:tr>
      <w:tr>
        <w:trPr/>
        <w:tc>
          <w:tcPr>
            <w:tcW w:w="4500" w:type="dxa"/>
            <w:vAlign w:val="top"/>
            <w:noWrap/>
          </w:tcPr>
          <w:p>
            <w:pPr>
              <w:spacing w:after="10"/>
            </w:pPr>
            <w:r>
              <w:rPr>
                <w:rStyle w:val=""/>
              </w:rPr>
              <w:t xml:space="preserve">Parts supplied</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Scope of delivery</w:t>
            </w:r>
          </w:p>
        </w:tc>
        <w:tc>
          <w:tcPr>
            <w:tcW w:w="4500" w:type="dxa"/>
            <w:vAlign w:val="top"/>
            <w:noWrap/>
          </w:tcPr>
          <w:p>
            <w:pPr>
              <w:spacing w:after="10"/>
            </w:pPr>
            <w:r>
              <w:rPr>
                <w:rStyle w:val=""/>
              </w:rPr>
              <w:t xml:space="preserve">Quick installation guide,drilling template,4 wall plugs with screws,1 Torx wrench,waterproof cover for RJ45 connector</w:t>
            </w:r>
          </w:p>
        </w:tc>
      </w:tr>
      <w:tr>
        <w:trPr/>
        <w:tc>
          <w:tcPr>
            <w:tcW w:w="4500" w:type="dxa"/>
            <w:vAlign w:val="top"/>
            <w:noWrap/>
          </w:tcPr>
          <w:p>
            <w:pPr>
              <w:spacing w:after="10"/>
            </w:pPr>
            <w:r>
              <w:rPr>
                <w:rStyle w:val=""/>
              </w:rPr>
              <w:t xml:space="preserve">Network</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Network Protocols</w:t>
            </w:r>
          </w:p>
        </w:tc>
        <w:tc>
          <w:tcPr>
            <w:tcW w:w="4500" w:type="dxa"/>
            <w:vAlign w:val="top"/>
            <w:noWrap/>
          </w:tcPr>
          <w:p>
            <w:pPr>
              <w:spacing w:after="10"/>
            </w:pPr>
            <w:r>
              <w:rPr>
                <w:rStyle w:val=""/>
              </w:rPr>
              <w:t xml:space="preserve">DDNS, DHCP, DNA, FTP, HTTP, HTTPS, NTP, RTP, RTSP, SMTP, TCP-IP, UPnP</w:t>
            </w:r>
          </w:p>
        </w:tc>
      </w:tr>
      <w:tr>
        <w:trPr/>
        <w:tc>
          <w:tcPr>
            <w:tcW w:w="4500" w:type="dxa"/>
            <w:vAlign w:val="top"/>
            <w:noWrap/>
          </w:tcPr>
          <w:p>
            <w:pPr>
              <w:spacing w:after="10"/>
            </w:pPr>
            <w:r>
              <w:rPr>
                <w:rStyle w:val=""/>
              </w:rPr>
              <w:t xml:space="preserve">Lens</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Horizontal angle of view</w:t>
            </w:r>
          </w:p>
        </w:tc>
        <w:tc>
          <w:tcPr>
            <w:tcW w:w="4500" w:type="dxa"/>
            <w:vAlign w:val="top"/>
            <w:noWrap/>
          </w:tcPr>
          <w:p>
            <w:pPr>
              <w:spacing w:after="10"/>
            </w:pPr>
            <w:r>
              <w:rPr>
                <w:rStyle w:val=""/>
              </w:rPr>
              <w:t xml:space="preserve">107 - 45°</w:t>
            </w:r>
          </w:p>
        </w:tc>
      </w:tr>
      <w:tr>
        <w:trPr/>
        <w:tc>
          <w:tcPr>
            <w:tcW w:w="4500" w:type="dxa"/>
            <w:vAlign w:val="top"/>
            <w:noWrap/>
          </w:tcPr>
          <w:p>
            <w:pPr>
              <w:spacing w:after="10"/>
            </w:pPr>
            <w:r>
              <w:rPr>
                <w:rStyle w:val=""/>
              </w:rPr>
              <w:t xml:space="preserve">Vertical angle of view</w:t>
            </w:r>
          </w:p>
        </w:tc>
        <w:tc>
          <w:tcPr>
            <w:tcW w:w="4500" w:type="dxa"/>
            <w:vAlign w:val="top"/>
            <w:noWrap/>
          </w:tcPr>
          <w:p>
            <w:pPr>
              <w:spacing w:after="10"/>
            </w:pPr>
            <w:r>
              <w:rPr>
                <w:rStyle w:val=""/>
              </w:rPr>
              <w:t xml:space="preserve">55 - 26°</w:t>
            </w:r>
          </w:p>
        </w:tc>
      </w:tr>
      <w:tr>
        <w:trPr/>
        <w:tc>
          <w:tcPr>
            <w:tcW w:w="4500" w:type="dxa"/>
            <w:vAlign w:val="top"/>
            <w:noWrap/>
          </w:tcPr>
          <w:p>
            <w:pPr>
              <w:spacing w:after="10"/>
            </w:pPr>
            <w:r>
              <w:rPr>
                <w:rStyle w:val=""/>
              </w:rPr>
              <w:t xml:space="preserve">Focal length</w:t>
            </w:r>
          </w:p>
        </w:tc>
        <w:tc>
          <w:tcPr>
            <w:tcW w:w="4500" w:type="dxa"/>
            <w:vAlign w:val="top"/>
            <w:noWrap/>
          </w:tcPr>
          <w:p>
            <w:pPr>
              <w:spacing w:after="10"/>
            </w:pPr>
            <w:r>
              <w:rPr>
                <w:rStyle w:val=""/>
              </w:rPr>
              <w:t xml:space="preserve">2,8 - 8 mm</w:t>
            </w:r>
          </w:p>
        </w:tc>
      </w:tr>
      <w:tr>
        <w:trPr/>
        <w:tc>
          <w:tcPr>
            <w:tcW w:w="4500" w:type="dxa"/>
            <w:vAlign w:val="top"/>
            <w:noWrap/>
          </w:tcPr>
          <w:p>
            <w:pPr>
              <w:spacing w:after="10"/>
            </w:pPr>
            <w:r>
              <w:rPr>
                <w:rStyle w:val=""/>
              </w:rPr>
              <w:t xml:space="preserve">Aperture Range (F)</w:t>
            </w:r>
          </w:p>
        </w:tc>
        <w:tc>
          <w:tcPr>
            <w:tcW w:w="4500" w:type="dxa"/>
            <w:vAlign w:val="top"/>
            <w:noWrap/>
          </w:tcPr>
          <w:p>
            <w:pPr>
              <w:spacing w:after="10"/>
            </w:pPr>
            <w:r>
              <w:rPr>
                <w:rStyle w:val=""/>
              </w:rPr>
              <w:t xml:space="preserve">F1,2</w:t>
            </w:r>
          </w:p>
        </w:tc>
      </w:tr>
      <w:tr>
        <w:trPr/>
        <w:tc>
          <w:tcPr>
            <w:tcW w:w="4500" w:type="dxa"/>
            <w:vAlign w:val="top"/>
            <w:noWrap/>
          </w:tcPr>
          <w:p>
            <w:pPr>
              <w:spacing w:after="10"/>
            </w:pPr>
            <w:r>
              <w:rPr>
                <w:rStyle w:val=""/>
              </w:rPr>
              <w:t xml:space="preserve">MOD (Minimum Object Distance)</w:t>
            </w:r>
          </w:p>
        </w:tc>
        <w:tc>
          <w:tcPr>
            <w:tcW w:w="4500" w:type="dxa"/>
            <w:vAlign w:val="top"/>
            <w:noWrap/>
          </w:tcPr>
          <w:p>
            <w:pPr>
              <w:spacing w:after="10"/>
            </w:pPr>
            <w:r>
              <w:rPr>
                <w:rStyle w:val=""/>
              </w:rPr>
              <w:t xml:space="preserve">0.8 m</w:t>
            </w:r>
          </w:p>
        </w:tc>
      </w:tr>
      <w:tr>
        <w:trPr/>
        <w:tc>
          <w:tcPr>
            <w:tcW w:w="4500" w:type="dxa"/>
            <w:vAlign w:val="top"/>
            <w:noWrap/>
          </w:tcPr>
          <w:p>
            <w:pPr>
              <w:spacing w:after="10"/>
            </w:pPr>
            <w:r>
              <w:rPr>
                <w:rStyle w:val=""/>
              </w:rPr>
              <w:t xml:space="preserve">Lens Type</w:t>
            </w:r>
          </w:p>
        </w:tc>
        <w:tc>
          <w:tcPr>
            <w:tcW w:w="4500" w:type="dxa"/>
            <w:vAlign w:val="top"/>
            <w:noWrap/>
          </w:tcPr>
          <w:p>
            <w:pPr>
              <w:spacing w:after="10"/>
            </w:pPr>
            <w:r>
              <w:rPr>
                <w:rStyle w:val=""/>
              </w:rPr>
              <w:t xml:space="preserve">Varifocal (motorized)</w:t>
            </w:r>
          </w:p>
        </w:tc>
      </w:tr>
      <w:tr>
        <w:trPr/>
        <w:tc>
          <w:tcPr>
            <w:tcW w:w="4500" w:type="dxa"/>
            <w:vAlign w:val="top"/>
            <w:noWrap/>
          </w:tcPr>
          <w:p>
            <w:pPr>
              <w:spacing w:after="10"/>
            </w:pPr>
            <w:r>
              <w:rPr>
                <w:rStyle w:val=""/>
              </w:rPr>
              <w:t xml:space="preserve">Zoomfactor (optical)</w:t>
            </w:r>
          </w:p>
        </w:tc>
        <w:tc>
          <w:tcPr>
            <w:tcW w:w="4500" w:type="dxa"/>
            <w:vAlign w:val="top"/>
            <w:noWrap/>
          </w:tcPr>
          <w:p>
            <w:pPr>
              <w:spacing w:after="10"/>
            </w:pPr>
            <w:r>
              <w:rPr>
                <w:rStyle w:val=""/>
              </w:rPr>
              <w:t xml:space="preserve">2.8</w:t>
            </w:r>
          </w:p>
        </w:tc>
      </w:tr>
      <w:tr>
        <w:trPr/>
        <w:tc>
          <w:tcPr>
            <w:tcW w:w="4500" w:type="dxa"/>
            <w:vAlign w:val="top"/>
            <w:noWrap/>
          </w:tcPr>
          <w:p>
            <w:pPr>
              <w:spacing w:after="10"/>
            </w:pPr>
            <w:r>
              <w:rPr>
                <w:rStyle w:val=""/>
              </w:rPr>
              <w:t xml:space="preserve">Video</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Image transfer rate max.</w:t>
            </w:r>
          </w:p>
        </w:tc>
        <w:tc>
          <w:tcPr>
            <w:tcW w:w="4500" w:type="dxa"/>
            <w:vAlign w:val="top"/>
            <w:noWrap/>
          </w:tcPr>
          <w:p>
            <w:pPr>
              <w:spacing w:after="10"/>
            </w:pPr>
            <w:r>
              <w:rPr>
                <w:rStyle w:val=""/>
              </w:rPr>
              <w:t xml:space="preserve">60 fps</w:t>
            </w:r>
          </w:p>
        </w:tc>
      </w:tr>
      <w:tr>
        <w:trPr/>
        <w:tc>
          <w:tcPr>
            <w:tcW w:w="4500" w:type="dxa"/>
            <w:vAlign w:val="top"/>
            <w:noWrap/>
          </w:tcPr>
          <w:p>
            <w:pPr>
              <w:spacing w:after="10"/>
            </w:pPr>
            <w:r>
              <w:rPr>
                <w:rStyle w:val=""/>
              </w:rPr>
              <w:t xml:space="preserve">Resolution (extended)</w:t>
            </w:r>
          </w:p>
        </w:tc>
        <w:tc>
          <w:tcPr>
            <w:tcW w:w="4500" w:type="dxa"/>
            <w:vAlign w:val="top"/>
            <w:noWrap/>
          </w:tcPr>
          <w:p>
            <w:pPr>
              <w:spacing w:after="10"/>
            </w:pPr>
            <w:r>
              <w:rPr>
                <w:rStyle w:val=""/>
              </w:rPr>
              <w:t xml:space="preserve">1920x1080 (16:9),1280x960 (4:3),1280x720 (16:9),640x480 (4:3),320x240 (4:3)</w:t>
            </w:r>
          </w:p>
        </w:tc>
      </w:tr>
      <w:tr>
        <w:trPr/>
        <w:tc>
          <w:tcPr>
            <w:tcW w:w="4500" w:type="dxa"/>
            <w:vAlign w:val="top"/>
            <w:noWrap/>
          </w:tcPr>
          <w:p>
            <w:pPr>
              <w:spacing w:after="10"/>
            </w:pPr>
            <w:r>
              <w:rPr>
                <w:rStyle w:val=""/>
              </w:rPr>
              <w:t xml:space="preserve">Picture size</w:t>
            </w:r>
          </w:p>
        </w:tc>
        <w:tc>
          <w:tcPr>
            <w:tcW w:w="4500" w:type="dxa"/>
            <w:vAlign w:val="top"/>
            <w:noWrap/>
          </w:tcPr>
          <w:p>
            <w:pPr>
              <w:spacing w:after="10"/>
            </w:pPr>
            <w:r>
              <w:rPr>
                <w:rStyle w:val=""/>
              </w:rPr>
              <w:t xml:space="preserve">16:9, 4:3</w:t>
            </w:r>
          </w:p>
        </w:tc>
      </w:tr>
      <w:tr>
        <w:trPr/>
        <w:tc>
          <w:tcPr>
            <w:tcW w:w="4500" w:type="dxa"/>
            <w:vAlign w:val="top"/>
            <w:noWrap/>
          </w:tcPr>
          <w:p>
            <w:pPr>
              <w:spacing w:after="10"/>
            </w:pPr>
            <w:r>
              <w:rPr>
                <w:rStyle w:val=""/>
              </w:rPr>
              <w:t xml:space="preserve">Data stream types</w:t>
            </w:r>
          </w:p>
        </w:tc>
        <w:tc>
          <w:tcPr>
            <w:tcW w:w="4500" w:type="dxa"/>
            <w:vAlign w:val="top"/>
            <w:noWrap/>
          </w:tcPr>
          <w:p>
            <w:pPr>
              <w:spacing w:after="10"/>
            </w:pPr>
            <w:r>
              <w:rPr>
                <w:rStyle w:val=""/>
              </w:rPr>
              <w:t xml:space="preserve">Triple-Stream(Main/Sub/Mobile)</w:t>
            </w:r>
          </w:p>
        </w:tc>
      </w:tr>
      <w:tr>
        <w:trPr/>
        <w:tc>
          <w:tcPr>
            <w:tcW w:w="4500" w:type="dxa"/>
            <w:vAlign w:val="top"/>
            <w:noWrap/>
          </w:tcPr>
          <w:p>
            <w:pPr>
              <w:spacing w:after="10"/>
            </w:pPr>
            <w:r>
              <w:rPr>
                <w:rStyle w:val=""/>
              </w:rPr>
              <w:t xml:space="preserve">Video Compression</w:t>
            </w:r>
          </w:p>
        </w:tc>
        <w:tc>
          <w:tcPr>
            <w:tcW w:w="4500" w:type="dxa"/>
            <w:vAlign w:val="top"/>
            <w:noWrap/>
          </w:tcPr>
          <w:p>
            <w:pPr>
              <w:spacing w:after="10"/>
            </w:pPr>
            <w:r>
              <w:rPr>
                <w:rStyle w:val=""/>
              </w:rPr>
              <w:t xml:space="preserve">H.264, H.264+, H.265, H.265+, M-JPEG</w:t>
            </w:r>
          </w:p>
        </w:tc>
      </w:tr>
      <w:tr>
        <w:trPr/>
        <w:tc>
          <w:tcPr>
            <w:tcW w:w="4500" w:type="dxa"/>
            <w:vAlign w:val="top"/>
            <w:noWrap/>
          </w:tcPr>
          <w:p>
            <w:pPr>
              <w:spacing w:after="10"/>
            </w:pPr>
            <w:r>
              <w:rPr>
                <w:rStyle w:val=""/>
              </w:rPr>
              <w:t xml:space="preserve"> Product labeling:</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EAN/GTIN</w:t>
            </w:r>
          </w:p>
        </w:tc>
        <w:tc>
          <w:tcPr>
            <w:tcW w:w="4500" w:type="dxa"/>
            <w:vAlign w:val="top"/>
            <w:noWrap/>
          </w:tcPr>
          <w:p>
            <w:pPr>
              <w:spacing w:after="10"/>
            </w:pPr>
            <w:r>
              <w:rPr>
                <w:rStyle w:val=""/>
              </w:rPr>
              <w:t xml:space="preserve">4260229840191</w:t>
            </w:r>
          </w:p>
        </w:tc>
      </w:tr>
      <w:tr>
        <w:trPr/>
        <w:tc>
          <w:tcPr>
            <w:tcW w:w="4500" w:type="dxa"/>
            <w:vAlign w:val="top"/>
            <w:noWrap/>
          </w:tcPr>
          <w:p>
            <w:pPr>
              <w:spacing w:after="10"/>
            </w:pPr>
            <w:r>
              <w:rPr>
                <w:rStyle w:val=""/>
              </w:rPr>
              <w:t xml:space="preserve">Manufacturer order number</w:t>
            </w:r>
          </w:p>
        </w:tc>
        <w:tc>
          <w:tcPr>
            <w:tcW w:w="4500" w:type="dxa"/>
            <w:vAlign w:val="top"/>
            <w:noWrap/>
          </w:tcPr>
          <w:p>
            <w:pPr>
              <w:spacing w:after="10"/>
            </w:pPr>
            <w:r>
              <w:rPr>
                <w:rStyle w:val=""/>
              </w:rPr>
              <w:t xml:space="preserve">233796</w:t>
            </w:r>
          </w:p>
        </w:tc>
      </w:tr>
      <w:tr>
        <w:trPr/>
        <w:tc>
          <w:tcPr>
            <w:tcW w:w="4500" w:type="dxa"/>
            <w:vAlign w:val="top"/>
            <w:noWrap/>
          </w:tcPr>
          <w:p>
            <w:pPr>
              <w:spacing w:after="10"/>
            </w:pPr>
            <w:r>
              <w:rPr>
                <w:rStyle w:val=""/>
              </w:rPr>
              <w:t xml:space="preserve">Series</w:t>
            </w:r>
          </w:p>
        </w:tc>
        <w:tc>
          <w:tcPr>
            <w:tcW w:w="4500" w:type="dxa"/>
            <w:vAlign w:val="top"/>
            <w:noWrap/>
          </w:tcPr>
          <w:p>
            <w:pPr>
              <w:spacing w:after="10"/>
            </w:pPr>
            <w:r>
              <w:rPr>
                <w:rStyle w:val=""/>
              </w:rPr>
              <w:t xml:space="preserve">eneo IN-Serie</w:t>
            </w:r>
          </w:p>
        </w:tc>
      </w:tr>
      <w:tr>
        <w:trPr/>
        <w:tc>
          <w:tcPr>
            <w:tcW w:w="4500" w:type="dxa"/>
            <w:vAlign w:val="top"/>
            <w:noWrap/>
          </w:tcPr>
          <w:p>
            <w:pPr>
              <w:spacing w:after="10"/>
            </w:pPr>
            <w:r>
              <w:rPr>
                <w:rStyle w:val=""/>
              </w:rPr>
              <w:t xml:space="preserve">Brand</w:t>
            </w:r>
          </w:p>
        </w:tc>
        <w:tc>
          <w:tcPr>
            <w:tcW w:w="4500" w:type="dxa"/>
            <w:vAlign w:val="top"/>
            <w:noWrap/>
          </w:tcPr>
          <w:p>
            <w:pPr>
              <w:spacing w:after="10"/>
            </w:pPr>
            <w:r>
              <w:rPr>
                <w:rStyle w:val=""/>
              </w:rPr>
              <w:t xml:space="preserve">eneo</w:t>
            </w:r>
          </w:p>
        </w:tc>
      </w:tr>
    </w:tbl>
    <w:p>
      <w:pPr>
        <w:pStyle w:val="p2Style"/>
      </w:pPr>
      <w:r>
        <w:rPr>
          <w:rStyle w:val="head2Style"/>
        </w:rPr>
        <w:t xml:space="preserve"/>
      </w:r>
    </w:p>
    <w:p>
      <w:pPr>
        <w:pStyle w:val="p2Style"/>
      </w:pPr>
      <w:r>
        <w:rPr>
          <w:rStyle w:val="head2Style"/>
        </w:rPr>
        <w:t xml:space="preserve">Additional Productinformation</w:t>
      </w:r>
    </w:p>
    <w:p>
      <w:pPr>
        <w:pStyle w:val="p2Style"/>
      </w:pPr>
      <w:r>
        <w:rPr>
          <w:rStyle w:val="textStyle"/>
        </w:rPr>
        <w:t xml:space="preserve"/>
      </w:r>
    </w:p>
    <w:p>
      <w:pPr>
        <w:pStyle w:val="p2Style"/>
      </w:pPr>
      <w:r>
        <w:rPr>
          <w:rStyle w:val="textStyle"/>
        </w:rPr>
        <w:t xml:space="preserve"/>
      </w:r>
    </w:p>
    <w:p>
      <w:pPr>
        <w:pStyle w:val="p2Style"/>
      </w:pPr>
      <w:r>
        <w:rPr>
          <w:rStyle w:val="head2Style"/>
        </w:rPr>
        <w:t xml:space="preserve"/>
      </w:r>
    </w:p>
    <w:p>
      <w:pPr>
        <w:pStyle w:val="p2Style"/>
      </w:pPr>
      <w:r>
        <w:rPr>
          <w:rStyle w:val="head2Style"/>
        </w:rPr>
        <w:t xml:space="preserve">Related products</w:t>
      </w:r>
    </w:p>
    <w:tbl>
      <w:tblGrid>
        <w:gridCol w:w="4500" w:type="dxa"/>
        <w:gridCol w:w="4500" w:type="dxa"/>
      </w:tblGrid>
      <w:tblPr>
        <w:tblStyle w:val="crosssell_products"/>
      </w:tblPr>
      <w:tr>
        <w:trPr/>
        <w:tc>
          <w:tcPr>
            <w:tcW w:w="4500" w:type="dxa"/>
            <w:vAlign w:val="top"/>
            <w:noWrap/>
          </w:tcPr>
          <w:p>
            <w:pPr>
              <w:spacing w:after="10"/>
            </w:pPr>
            <w:r>
              <w:rPr>
                <w:rStyle w:val=""/>
              </w:rPr>
              <w:t xml:space="preserve">eneo AK-22</w:t>
            </w:r>
          </w:p>
        </w:tc>
        <w:tc>
          <w:tcPr>
            <w:tcW w:w="4500" w:type="dxa"/>
            <w:vAlign w:val="top"/>
            <w:noWrap/>
          </w:tcPr>
          <w:p>
            <w:pPr>
              <w:spacing w:after="10"/>
            </w:pPr>
            <w:r>
              <w:rPr>
                <w:rStyle w:val=""/>
              </w:rPr>
              <w:t xml:space="preserve">Camera junction box for wall and ceiling mount, Mini Dome IND-42M2808M0A</w:t>
            </w:r>
          </w:p>
        </w:tc>
      </w:tr>
      <w:tr>
        <w:trPr/>
        <w:tc>
          <w:tcPr>
            <w:tcW w:w="4500" w:type="dxa"/>
            <w:vAlign w:val="top"/>
            <w:noWrap/>
          </w:tcPr>
          <w:p>
            <w:pPr>
              <w:spacing w:after="10"/>
            </w:pPr>
            <w:r>
              <w:rPr>
                <w:rStyle w:val=""/>
              </w:rPr>
              <w:t xml:space="preserve">eneo AK-23</w:t>
            </w:r>
          </w:p>
        </w:tc>
        <w:tc>
          <w:tcPr>
            <w:tcW w:w="4500" w:type="dxa"/>
            <w:vAlign w:val="top"/>
            <w:noWrap/>
          </w:tcPr>
          <w:p>
            <w:pPr>
              <w:spacing w:after="10"/>
            </w:pPr>
            <w:r>
              <w:rPr>
                <w:rStyle w:val=""/>
              </w:rPr>
              <w:t xml:space="preserve">Camera connection box for Mini Dome IND-42M2808M0A for holder Dome-WB6/Dome-CH6</w:t>
            </w:r>
          </w:p>
        </w:tc>
      </w:tr>
      <w:tr>
        <w:trPr/>
        <w:tc>
          <w:tcPr>
            <w:tcW w:w="4500" w:type="dxa"/>
            <w:vAlign w:val="top"/>
            <w:noWrap/>
          </w:tcPr>
          <w:p>
            <w:pPr>
              <w:spacing w:after="10"/>
            </w:pPr>
            <w:r>
              <w:rPr>
                <w:rStyle w:val=""/>
              </w:rPr>
              <w:t xml:space="preserve">eneo DOME-WB7</w:t>
            </w:r>
          </w:p>
        </w:tc>
        <w:tc>
          <w:tcPr>
            <w:tcW w:w="4500" w:type="dxa"/>
            <w:vAlign w:val="top"/>
            <w:noWrap/>
          </w:tcPr>
          <w:p>
            <w:pPr>
              <w:spacing w:after="10"/>
            </w:pPr>
            <w:r>
              <w:rPr>
                <w:rStyle w:val=""/>
              </w:rPr>
              <w:t xml:space="preserve">Wall bracket for Mini Dome IND-42M2808M0A</w:t>
            </w:r>
          </w:p>
        </w:tc>
      </w:tr>
      <w:tr>
        <w:trPr/>
        <w:tc>
          <w:tcPr>
            <w:tcW w:w="4500" w:type="dxa"/>
            <w:vAlign w:val="top"/>
            <w:noWrap/>
          </w:tcPr>
          <w:p>
            <w:pPr>
              <w:spacing w:after="10"/>
            </w:pPr>
            <w:r>
              <w:rPr>
                <w:rStyle w:val=""/>
              </w:rPr>
              <w:t xml:space="preserve">eneo INsight</w:t>
            </w:r>
          </w:p>
        </w:tc>
        <w:tc>
          <w:tcPr>
            <w:tcW w:w="4500" w:type="dxa"/>
            <w:vAlign w:val="top"/>
            <w:noWrap/>
          </w:tcPr>
          <w:p>
            <w:pPr>
              <w:spacing w:after="10"/>
            </w:pPr>
            <w:r>
              <w:rPr>
                <w:rStyle w:val=""/>
              </w:rPr>
              <w:t xml:space="preserve">Control software for recorder IN- and MN-series</w:t>
            </w:r>
          </w:p>
        </w:tc>
      </w:tr>
      <w:tr>
        <w:trPr/>
        <w:tc>
          <w:tcPr>
            <w:tcW w:w="4500" w:type="dxa"/>
            <w:vAlign w:val="top"/>
            <w:noWrap/>
          </w:tcPr>
          <w:p>
            <w:pPr>
              <w:spacing w:after="10"/>
            </w:pPr>
            <w:r>
              <w:rPr>
                <w:rStyle w:val=""/>
              </w:rPr>
              <w:t xml:space="preserve">eneo INsight Installation Tool</w:t>
            </w:r>
          </w:p>
        </w:tc>
        <w:tc>
          <w:tcPr>
            <w:tcW w:w="4500" w:type="dxa"/>
            <w:vAlign w:val="top"/>
            <w:noWrap/>
          </w:tcPr>
          <w:p>
            <w:pPr>
              <w:spacing w:after="10"/>
            </w:pPr>
            <w:r>
              <w:rPr>
                <w:rStyle w:val=""/>
              </w:rPr>
              <w:t xml:space="preserve">Supports adjustments for cameras with AI features for IN-series</w:t>
            </w:r>
          </w:p>
        </w:tc>
      </w:tr>
      <w:tr>
        <w:trPr/>
        <w:tc>
          <w:tcPr>
            <w:tcW w:w="4500" w:type="dxa"/>
            <w:vAlign w:val="top"/>
            <w:noWrap/>
          </w:tcPr>
          <w:p>
            <w:pPr>
              <w:spacing w:after="10"/>
            </w:pPr>
            <w:r>
              <w:rPr>
                <w:rStyle w:val=""/>
              </w:rPr>
              <w:t xml:space="preserve">eneo INsight mobile</w:t>
            </w:r>
          </w:p>
        </w:tc>
        <w:tc>
          <w:tcPr>
            <w:tcW w:w="4500" w:type="dxa"/>
            <w:vAlign w:val="top"/>
            <w:noWrap/>
          </w:tcPr>
          <w:p>
            <w:pPr>
              <w:spacing w:after="10"/>
            </w:pPr>
            <w:r>
              <w:rPr>
                <w:rStyle w:val=""/>
              </w:rPr>
              <w:t xml:space="preserve">Mobile App for recorder IN- and MN-series</w:t>
            </w:r>
          </w:p>
        </w:tc>
      </w:tr>
      <w:tr>
        <w:trPr/>
        <w:tc>
          <w:tcPr>
            <w:tcW w:w="4500" w:type="dxa"/>
            <w:vAlign w:val="top"/>
            <w:noWrap/>
          </w:tcPr>
          <w:p>
            <w:pPr>
              <w:spacing w:after="10"/>
            </w:pPr>
            <w:r>
              <w:rPr>
                <w:rStyle w:val=""/>
              </w:rPr>
              <w:t xml:space="preserve">eneo Site Manager</w:t>
            </w:r>
          </w:p>
        </w:tc>
        <w:tc>
          <w:tcPr>
            <w:tcW w:w="4500" w:type="dxa"/>
            <w:vAlign w:val="top"/>
            <w:noWrap/>
          </w:tcPr>
          <w:p>
            <w:pPr>
              <w:spacing w:after="10"/>
            </w:pPr>
            <w:r>
              <w:rPr>
                <w:rStyle w:val=""/>
              </w:rPr>
              <w:t xml:space="preserve">Management Software for eneo IP products</w:t>
            </w:r>
          </w:p>
        </w:tc>
      </w:tr>
    </w:tbl>
    <w:p>
      <w:pPr>
        <w:pStyle w:val="p2Style"/>
      </w:pPr>
      <w:r>
        <w:rPr>
          <w:rStyle w:val="head2Style"/>
        </w:rPr>
        <w:t xml:space="preserve"/>
      </w:r>
    </w:p>
    <w:p>
      <w:pPr>
        <w:pStyle w:val="p2Style"/>
      </w:pPr>
      <w:r>
        <w:rPr>
          <w:rStyle w:val="head2Style"/>
        </w:rPr>
        <w:t xml:space="preserve">Recommendations</w:t>
      </w:r>
    </w:p>
    <w:tbl>
      <w:tblGrid>
        <w:gridCol w:w="4500" w:type="dxa"/>
        <w:gridCol w:w="4500" w:type="dxa"/>
      </w:tblGrid>
      <w:tblPr>
        <w:tblStyle w:val="upsell_products"/>
      </w:tblPr>
      <w:tr>
        <w:trPr/>
        <w:tc>
          <w:tcPr>
            <w:tcW w:w="4500" w:type="dxa"/>
            <w:vAlign w:val="top"/>
            <w:noWrap/>
          </w:tcPr>
          <w:p>
            <w:pPr>
              <w:spacing w:after="10"/>
            </w:pPr>
            <w:r>
              <w:rPr>
                <w:rStyle w:val=""/>
              </w:rPr>
              <w:t xml:space="preserve">eneo NSMI-4004M0A</w:t>
            </w:r>
          </w:p>
        </w:tc>
        <w:tc>
          <w:tcPr>
            <w:tcW w:w="4500" w:type="dxa"/>
            <w:vAlign w:val="top"/>
            <w:noWrap/>
          </w:tcPr>
          <w:p>
            <w:pPr>
              <w:spacing w:after="10"/>
            </w:pPr>
            <w:r>
              <w:rPr>
                <w:rStyle w:val=""/>
              </w:rPr>
              <w:t xml:space="preserve">Gigabit Switch Industrial, Managed, 4x PoE, 2xSFP, 30W each Port, -40°C~75°C, 44~57 VDC, w/o power supply</w:t>
            </w:r>
          </w:p>
        </w:tc>
      </w:tr>
      <w:tr>
        <w:trPr/>
        <w:tc>
          <w:tcPr>
            <w:tcW w:w="4500" w:type="dxa"/>
            <w:vAlign w:val="top"/>
            <w:noWrap/>
          </w:tcPr>
          <w:p>
            <w:pPr>
              <w:spacing w:after="10"/>
            </w:pPr>
            <w:r>
              <w:rPr>
                <w:rStyle w:val=""/>
              </w:rPr>
              <w:t xml:space="preserve">eneo NSMI-4008M0A</w:t>
            </w:r>
          </w:p>
        </w:tc>
        <w:tc>
          <w:tcPr>
            <w:tcW w:w="4500" w:type="dxa"/>
            <w:vAlign w:val="top"/>
            <w:noWrap/>
          </w:tcPr>
          <w:p>
            <w:pPr>
              <w:spacing w:after="10"/>
            </w:pPr>
            <w:r>
              <w:rPr>
                <w:rStyle w:val=""/>
              </w:rPr>
              <w:t xml:space="preserve">Gigabit Switch Industrial, Managed, 8x PoE, 2xSFP, 30W each Port, -40°C~75°C, 44~57 VDC, w/o power supply</w:t>
            </w:r>
          </w:p>
        </w:tc>
      </w:tr>
      <w:tr>
        <w:trPr/>
        <w:tc>
          <w:tcPr>
            <w:tcW w:w="4500" w:type="dxa"/>
            <w:vAlign w:val="top"/>
            <w:noWrap/>
          </w:tcPr>
          <w:p>
            <w:pPr>
              <w:spacing w:after="10"/>
            </w:pPr>
            <w:r>
              <w:rPr>
                <w:rStyle w:val=""/>
              </w:rPr>
              <w:t xml:space="preserve">eneo NSMR-2008M0A</w:t>
            </w:r>
          </w:p>
        </w:tc>
        <w:tc>
          <w:tcPr>
            <w:tcW w:w="4500" w:type="dxa"/>
            <w:vAlign w:val="top"/>
            <w:noWrap/>
          </w:tcPr>
          <w:p>
            <w:pPr>
              <w:spacing w:after="10"/>
            </w:pPr>
            <w:r>
              <w:rPr>
                <w:rStyle w:val=""/>
              </w:rPr>
              <w:t xml:space="preserve">Gigabit Switch Rack, Managed, 8x PoE, 2xSFP, max. 30W each Port, internal Power Supply max. 150W</w:t>
            </w:r>
          </w:p>
        </w:tc>
      </w:tr>
      <w:tr>
        <w:trPr/>
        <w:tc>
          <w:tcPr>
            <w:tcW w:w="4500" w:type="dxa"/>
            <w:vAlign w:val="top"/>
            <w:noWrap/>
          </w:tcPr>
          <w:p>
            <w:pPr>
              <w:spacing w:after="10"/>
            </w:pPr>
            <w:r>
              <w:rPr>
                <w:rStyle w:val=""/>
              </w:rPr>
              <w:t xml:space="preserve">eneo NSMR-2016M0A</w:t>
            </w:r>
          </w:p>
        </w:tc>
        <w:tc>
          <w:tcPr>
            <w:tcW w:w="4500" w:type="dxa"/>
            <w:vAlign w:val="top"/>
            <w:noWrap/>
          </w:tcPr>
          <w:p>
            <w:pPr>
              <w:spacing w:after="10"/>
            </w:pPr>
            <w:r>
              <w:rPr>
                <w:rStyle w:val=""/>
              </w:rPr>
              <w:t xml:space="preserve">Gigabit Switch Rack, Managed, 16x PoE, 2xSFP, max. 30W each Port, integrated Power Suppply max. 250W</w:t>
            </w:r>
          </w:p>
        </w:tc>
      </w:tr>
      <w:tr>
        <w:trPr/>
        <w:tc>
          <w:tcPr>
            <w:tcW w:w="4500" w:type="dxa"/>
            <w:vAlign w:val="top"/>
            <w:noWrap/>
          </w:tcPr>
          <w:p>
            <w:pPr>
              <w:spacing w:after="10"/>
            </w:pPr>
            <w:r>
              <w:rPr>
                <w:rStyle w:val=""/>
              </w:rPr>
              <w:t xml:space="preserve">eneo NSMR-2024M0A</w:t>
            </w:r>
          </w:p>
        </w:tc>
        <w:tc>
          <w:tcPr>
            <w:tcW w:w="4500" w:type="dxa"/>
            <w:vAlign w:val="top"/>
            <w:noWrap/>
          </w:tcPr>
          <w:p>
            <w:pPr>
              <w:spacing w:after="10"/>
            </w:pPr>
            <w:r>
              <w:rPr>
                <w:rStyle w:val=""/>
              </w:rPr>
              <w:t xml:space="preserve">Gigabit Switch Rack, Managed, 24x PoE, 2xSFP, max. 30W each Port, integrated Power Supply max. 400W</w:t>
            </w:r>
          </w:p>
        </w:tc>
      </w:tr>
      <w:tr>
        <w:trPr/>
        <w:tc>
          <w:tcPr>
            <w:tcW w:w="4500" w:type="dxa"/>
            <w:vAlign w:val="top"/>
            <w:noWrap/>
          </w:tcPr>
          <w:p>
            <w:pPr>
              <w:spacing w:after="10"/>
            </w:pPr>
            <w:r>
              <w:rPr>
                <w:rStyle w:val=""/>
              </w:rPr>
              <w:t xml:space="preserve">eneo NSUI-3004M0A</w:t>
            </w:r>
          </w:p>
        </w:tc>
        <w:tc>
          <w:tcPr>
            <w:tcW w:w="4500" w:type="dxa"/>
            <w:vAlign w:val="top"/>
            <w:noWrap/>
          </w:tcPr>
          <w:p>
            <w:pPr>
              <w:spacing w:after="10"/>
            </w:pPr>
            <w:r>
              <w:rPr>
                <w:rStyle w:val=""/>
              </w:rPr>
              <w:t xml:space="preserve">Gigabit Switch Industrial, Unmanaged, 4x PoE, 1xRJ45, 1xSFP, 30W each Port, -40°C~75°C, 44~57 VDC, w/o power supply</w:t>
            </w:r>
          </w:p>
        </w:tc>
      </w:tr>
      <w:tr>
        <w:trPr/>
        <w:tc>
          <w:tcPr>
            <w:tcW w:w="4500" w:type="dxa"/>
            <w:vAlign w:val="top"/>
            <w:noWrap/>
          </w:tcPr>
          <w:p>
            <w:pPr>
              <w:spacing w:after="10"/>
            </w:pPr>
            <w:r>
              <w:rPr>
                <w:rStyle w:val=""/>
              </w:rPr>
              <w:t xml:space="preserve">eneo NSUI-3008M0A</w:t>
            </w:r>
          </w:p>
        </w:tc>
        <w:tc>
          <w:tcPr>
            <w:tcW w:w="4500" w:type="dxa"/>
            <w:vAlign w:val="top"/>
            <w:noWrap/>
          </w:tcPr>
          <w:p>
            <w:pPr>
              <w:spacing w:after="10"/>
            </w:pPr>
            <w:r>
              <w:rPr>
                <w:rStyle w:val=""/>
              </w:rPr>
              <w:t xml:space="preserve">Gigabit Switch Industrial, Unmanaged, 8x PoE, 2xSFP, 30W each Port, -40°C~75°C, 44~57 VDC, w/o power supply</w:t>
            </w:r>
          </w:p>
        </w:tc>
      </w:tr>
      <w:tr>
        <w:trPr/>
        <w:tc>
          <w:tcPr>
            <w:tcW w:w="4500" w:type="dxa"/>
            <w:vAlign w:val="top"/>
            <w:noWrap/>
          </w:tcPr>
          <w:p>
            <w:pPr>
              <w:spacing w:after="10"/>
            </w:pPr>
            <w:r>
              <w:rPr>
                <w:rStyle w:val=""/>
              </w:rPr>
              <w:t xml:space="preserve">eneo NSUR-1008M0A</w:t>
            </w:r>
          </w:p>
        </w:tc>
        <w:tc>
          <w:tcPr>
            <w:tcW w:w="4500" w:type="dxa"/>
            <w:vAlign w:val="top"/>
            <w:noWrap/>
          </w:tcPr>
          <w:p>
            <w:pPr>
              <w:spacing w:after="10"/>
            </w:pPr>
            <w:r>
              <w:rPr>
                <w:rStyle w:val=""/>
              </w:rPr>
              <w:t xml:space="preserve">Gigabit Switch Rack, Unmanaged, 8x PoE, 2xSFP, max. 30W each Port, integrated Power Supply max. 150W</w:t>
            </w:r>
          </w:p>
        </w:tc>
      </w:tr>
      <w:tr>
        <w:trPr/>
        <w:tc>
          <w:tcPr>
            <w:tcW w:w="4500" w:type="dxa"/>
            <w:vAlign w:val="top"/>
            <w:noWrap/>
          </w:tcPr>
          <w:p>
            <w:pPr>
              <w:spacing w:after="10"/>
            </w:pPr>
            <w:r>
              <w:rPr>
                <w:rStyle w:val=""/>
              </w:rPr>
              <w:t xml:space="preserve">eneo NSUR-1016M0A</w:t>
            </w:r>
          </w:p>
        </w:tc>
        <w:tc>
          <w:tcPr>
            <w:tcW w:w="4500" w:type="dxa"/>
            <w:vAlign w:val="top"/>
            <w:noWrap/>
          </w:tcPr>
          <w:p>
            <w:pPr>
              <w:spacing w:after="10"/>
            </w:pPr>
            <w:r>
              <w:rPr>
                <w:rStyle w:val=""/>
              </w:rPr>
              <w:t xml:space="preserve">Gigabit Switch Rack, Unmanaged, 16x PoE, 2xSFP, max. 30W each Port, integrated Power Supply max. 250W</w:t>
            </w:r>
          </w:p>
        </w:tc>
      </w:tr>
      <w:tr>
        <w:trPr/>
        <w:tc>
          <w:tcPr>
            <w:tcW w:w="4500" w:type="dxa"/>
            <w:vAlign w:val="top"/>
            <w:noWrap/>
          </w:tcPr>
          <w:p>
            <w:pPr>
              <w:spacing w:after="10"/>
            </w:pPr>
            <w:r>
              <w:rPr>
                <w:rStyle w:val=""/>
              </w:rPr>
              <w:t xml:space="preserve">eneo NSUR-1024M0A</w:t>
            </w:r>
          </w:p>
        </w:tc>
        <w:tc>
          <w:tcPr>
            <w:tcW w:w="4500" w:type="dxa"/>
            <w:vAlign w:val="top"/>
            <w:noWrap/>
          </w:tcPr>
          <w:p>
            <w:pPr>
              <w:spacing w:after="10"/>
            </w:pPr>
            <w:r>
              <w:rPr>
                <w:rStyle w:val=""/>
              </w:rPr>
              <w:t xml:space="preserve">Gigabit Switch Rack, Unmanaged, 24x PoE, 2xSFP, max. 30W each Port, integrated Power Supply max. 400W</w:t>
            </w:r>
          </w:p>
        </w:tc>
      </w:tr>
      <w:tr>
        <w:trPr/>
        <w:tc>
          <w:tcPr>
            <w:tcW w:w="4500" w:type="dxa"/>
            <w:vAlign w:val="top"/>
            <w:noWrap/>
          </w:tcPr>
          <w:p>
            <w:pPr>
              <w:spacing w:after="10"/>
            </w:pPr>
            <w:r>
              <w:rPr>
                <w:rStyle w:val=""/>
              </w:rPr>
              <w:t xml:space="preserve">Jetrics jetcat6SFTP-GN-0,5/1</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Jetrics jetcat6SFTP-GN-1/1</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Jetrics jetcat6SFTP-GN-2/1</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Jetrics jetcat6SFTP-GN-3/1</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Jetrics jetcat6SFTP-GN-7,5/1</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Jetrics jetpower-PSU-XS-11C Steckernetzteil</w:t>
            </w:r>
          </w:p>
        </w:tc>
        <w:tc>
          <w:tcPr>
            <w:tcW w:w="4500" w:type="dxa"/>
            <w:vAlign w:val="top"/>
            <w:noWrap/>
          </w:tcPr>
          <w:p>
            <w:pPr>
              <w:spacing w:after="10"/>
            </w:pPr>
            <w:r>
              <w:rPr>
                <w:rStyle w:val=""/>
              </w:rPr>
              <w:t xml:space="preserve"/>
            </w:r>
          </w:p>
        </w:tc>
      </w:tr>
    </w:tbl>
    <w:p>
      <w:pPr>
        <w:pStyle w:val="p2Style"/>
      </w:pPr>
      <w:r>
        <w:rPr>
          <w:rStyle w:val="head2Style"/>
        </w:rPr>
        <w:t xml:space="preserve"/>
      </w:r>
    </w:p>
    <w:p>
      <w:pPr>
        <w:pStyle w:val="p2Style"/>
      </w:pPr>
      <w:r>
        <w:rPr>
          <w:rStyle w:val="head2Style"/>
        </w:rPr>
        <w:t xml:space="preserve">Services</w:t>
      </w:r>
    </w:p>
    <w:tbl>
      <w:tblGrid>
        <w:gridCol w:w="4500" w:type="dxa"/>
        <w:gridCol w:w="4500" w:type="dxa"/>
      </w:tblGrid>
      <w:tblPr>
        <w:tblStyle w:val="related_products"/>
      </w:tblPr>
      <w:tr>
        <w:trPr/>
        <w:tc>
          <w:tcPr>
            <w:tcW w:w="4500" w:type="dxa"/>
            <w:vAlign w:val="top"/>
            <w:noWrap/>
          </w:tcPr>
          <w:p>
            <w:pPr>
              <w:spacing w:after="10"/>
            </w:pPr>
            <w:r>
              <w:rPr>
                <w:rStyle w:val=""/>
              </w:rPr>
              <w:t xml:space="preserve">PAINTING SERVICE basic costs</w:t>
            </w:r>
          </w:p>
        </w:tc>
        <w:tc>
          <w:tcPr>
            <w:tcW w:w="4500" w:type="dxa"/>
            <w:vAlign w:val="top"/>
            <w:noWrap/>
          </w:tcPr>
          <w:p>
            <w:pPr>
              <w:spacing w:after="10"/>
            </w:pPr>
            <w:r>
              <w:rPr>
                <w:rStyle w:val=""/>
              </w:rPr>
              <w:t xml:space="preserve">once per RAL color and delivery lot</w:t>
            </w:r>
          </w:p>
        </w:tc>
      </w:tr>
      <w:tr>
        <w:trPr/>
        <w:tc>
          <w:tcPr>
            <w:tcW w:w="4500" w:type="dxa"/>
            <w:vAlign w:val="top"/>
            <w:noWrap/>
          </w:tcPr>
          <w:p>
            <w:pPr>
              <w:spacing w:after="10"/>
            </w:pPr>
            <w:r>
              <w:rPr>
                <w:rStyle w:val=""/>
              </w:rPr>
              <w:t xml:space="preserve">PAINTING SERVICE fix dome camera</w:t>
            </w:r>
          </w:p>
        </w:tc>
        <w:tc>
          <w:tcPr>
            <w:tcW w:w="4500" w:type="dxa"/>
            <w:vAlign w:val="top"/>
            <w:noWrap/>
          </w:tcPr>
          <w:p>
            <w:pPr>
              <w:spacing w:after="10"/>
            </w:pPr>
            <w:r>
              <w:rPr>
                <w:rStyle w:val=""/>
              </w:rPr>
              <w:t xml:space="preserve">in RAL color</w:t>
            </w:r>
          </w:p>
        </w:tc>
      </w:tr>
      <w:tr>
        <w:trPr/>
        <w:tc>
          <w:tcPr>
            <w:tcW w:w="4500" w:type="dxa"/>
            <w:vAlign w:val="top"/>
            <w:noWrap/>
          </w:tcPr>
          <w:p>
            <w:pPr>
              <w:spacing w:after="10"/>
            </w:pPr>
            <w:r>
              <w:rPr>
                <w:rStyle w:val=""/>
              </w:rPr>
              <w:t xml:space="preserve">Vorkonfiguration IP-Kamera</w:t>
            </w:r>
          </w:p>
        </w:tc>
        <w:tc>
          <w:tcPr>
            <w:tcW w:w="4500" w:type="dxa"/>
            <w:vAlign w:val="top"/>
            <w:noWrap/>
          </w:tcPr>
          <w:p>
            <w:pPr>
              <w:spacing w:after="10"/>
            </w:pPr>
            <w:r>
              <w:rPr>
                <w:rStyle w:val=""/>
              </w:rPr>
              <w:t xml:space="preserve">Preconfiguration 1x IP camera Function test, FW update</w:t>
            </w:r>
          </w:p>
        </w:tc>
      </w:tr>
    </w:tbl>
    <w:sectPr>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Style"/>
    <w:rPr>
      <w:sz w:val="28"/>
      <w:szCs w:val="28"/>
      <w:b w:val="1"/>
      <w:bCs w:val="1"/>
    </w:rPr>
  </w:style>
  <w:style w:type="character">
    <w:name w:val="head2Style"/>
    <w:rPr>
      <w:sz w:val="20"/>
      <w:szCs w:val="20"/>
      <w:b w:val="1"/>
      <w:bCs w:val="1"/>
    </w:rPr>
  </w:style>
  <w:style w:type="character">
    <w:name w:val="textStyle"/>
    <w:rPr>
      <w:sz w:val="20"/>
      <w:szCs w:val="20"/>
      <w:b w:val="0"/>
      <w:bCs w:val="0"/>
    </w:rPr>
  </w:style>
  <w:style w:type="paragraph" w:customStyle="1" w:styleId="pStyle">
    <w:name w:val="pStyle"/>
    <w:basedOn w:val="Normal"/>
    <w:pPr>
      <w:jc w:val="center"/>
      <w:spacing w:after="1"/>
    </w:pPr>
  </w:style>
  <w:style w:type="paragraph" w:customStyle="1" w:styleId="p2Style">
    <w:name w:val="p2Style"/>
    <w:basedOn w:val="Normal"/>
    <w:pPr>
      <w:jc w:val="left"/>
      <w:spacing w:after="1"/>
    </w:pPr>
  </w:style>
  <w:style w:type="table" w:customStyle="1" w:styleId="specifications">
    <w:name w:val="specifications"/>
    <w:uiPriority w:val="99"/>
    <w:tblPr>
      <w:tblW w:w="0" w:type="auto"/>
      <w:tblLayout w:type="autofit"/>
      <w:tblCellMar>
        <w:top w:w="0" w:type="dxa"/>
        <w:left w:w="0" w:type="dxa"/>
        <w:right w:w="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blStylePr w:type="firstRow">
      <w:tcPr>
        <w:tblBorders>
          <w:bottom w:val="single" w:sz="0" w:color="ffffff"/>
        </w:tblBorders>
        <w:tcPr>
          <w:shd w:val="clear" w:fill="ffffff"/>
        </w:tcPr>
      </w:tcPr>
    </w:tblStylePr>
  </w:style>
  <w:style w:type="table" w:customStyle="1" w:styleId="crosssell_products">
    <w:name w:val="crosssell_products"/>
    <w:uiPriority w:val="99"/>
    <w:tblPr>
      <w:tblW w:w="0" w:type="auto"/>
      <w:tblLayout w:type="autofit"/>
      <w:tblCellMar>
        <w:top w:w="0" w:type="dxa"/>
        <w:left w:w="0" w:type="dxa"/>
        <w:right w:w="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blStylePr w:type="firstRow">
      <w:tcPr>
        <w:tblBorders>
          <w:bottom w:val="single" w:sz="0" w:color="ffffff"/>
        </w:tblBorders>
        <w:tcPr>
          <w:shd w:val="clear" w:fill="ffffff"/>
        </w:tcPr>
      </w:tcPr>
    </w:tblStylePr>
  </w:style>
  <w:style w:type="table" w:customStyle="1" w:styleId="upsell_products">
    <w:name w:val="upsell_products"/>
    <w:uiPriority w:val="99"/>
    <w:tblPr>
      <w:tblW w:w="0" w:type="auto"/>
      <w:tblLayout w:type="autofit"/>
      <w:tblCellMar>
        <w:top w:w="0" w:type="dxa"/>
        <w:left w:w="0" w:type="dxa"/>
        <w:right w:w="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blStylePr w:type="firstRow">
      <w:tcPr>
        <w:tblBorders>
          <w:bottom w:val="single" w:sz="0" w:color="ffffff"/>
        </w:tblBorders>
        <w:tcPr>
          <w:shd w:val="clear" w:fill="ffffff"/>
        </w:tcPr>
      </w:tcPr>
    </w:tblStylePr>
  </w:style>
  <w:style w:type="table" w:customStyle="1" w:styleId="related_products">
    <w:name w:val="related_products"/>
    <w:uiPriority w:val="99"/>
    <w:tblPr>
      <w:tblW w:w="0" w:type="auto"/>
      <w:tblLayout w:type="autofit"/>
      <w:tblCellMar>
        <w:top w:w="0" w:type="dxa"/>
        <w:left w:w="0" w:type="dxa"/>
        <w:right w:w="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blStylePr w:type="firstRow">
      <w:tcPr>
        <w:tblBorders>
          <w:bottom w:val="single" w:sz="0" w:color="ffffff"/>
        </w:tblBorders>
        <w:tcPr>
          <w:shd w:val="clear" w:fill="ffffff"/>
        </w:tcPr>
      </w:tcPr>
    </w:tblStyle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2026-05-20T21:05:09+00:00</dcterms:created>
  <dcterms:modified xsi:type="dcterms:W3CDTF">2026-05-20T21:05:09+00:00</dcterms:modified>
</cp:coreProperties>
</file>

<file path=docProps/custom.xml><?xml version="1.0" encoding="utf-8"?>
<Properties xmlns="http://schemas.openxmlformats.org/officeDocument/2006/custom-properties" xmlns:vt="http://schemas.openxmlformats.org/officeDocument/2006/docPropsVTypes"/>
</file>