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SC-HDT01E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HDMI to HD/EX-SDI,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HDMI to HD-SDI and Ex-SDI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HDMI input up to 1080p60Hz</w:t>
      </w:r>
    </w:p>
    <w:p>
      <w:pPr>
        <w:pStyle w:val="p2Style"/>
      </w:pPr>
      <w:r>
        <w:rPr>
          <w:rStyle w:val="textStyle"/>
        </w:rPr>
        <w:t xml:space="preserve">HD-SDI and Ex-SDI 1.0/2.0 output</w:t>
      </w:r>
    </w:p>
    <w:p>
      <w:pPr>
        <w:pStyle w:val="p2Style"/>
      </w:pPr>
      <w:r>
        <w:rPr>
          <w:rStyle w:val="textStyle"/>
        </w:rPr>
        <w:t xml:space="preserve">1x IN / 3x OUT distribution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Cable length up to 200m (HD-SDI 1,5G)</w:t>
      </w:r>
    </w:p>
    <w:p>
      <w:pPr>
        <w:pStyle w:val="p2Style"/>
      </w:pPr>
      <w:r>
        <w:rPr>
          <w:rStyle w:val="textStyle"/>
        </w:rPr>
        <w:t xml:space="preserve">Cable length up to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SC-HOC01S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Transmission System, HD-SDI, EX-SDI, Transmitter, Receiver, 20km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2026-10-15T09:39:06+00:00</dcterms:created>
  <dcterms:modified xsi:type="dcterms:W3CDTF">2026-10-15T09:39:06+00:00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