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mast diameter 150-215 mm</w:t>
      </w:r>
    </w:p>
    <w:p>
      <w:pPr>
        <w:pStyle w:val="p2Style"/>
      </w:pPr>
      <w:r>
        <w:rPr>
          <w:rStyle w:val="textStyle"/>
        </w:rPr>
        <w:t xml:space="preserve">Galvanised steel</w:t>
      </w:r>
    </w:p>
    <w:p>
      <w:pPr>
        <w:pStyle w:val="p2Style"/>
      </w:pPr>
      <w:r>
        <w:rPr>
          <w:rStyle w:val="textStyle"/>
        </w:rPr>
        <w:t xml:space="preserve">Load capacity up to max. 100Kg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2026-08-18T21:31:08+00:00</dcterms:created>
  <dcterms:modified xsi:type="dcterms:W3CDTF">2026-08-18T21:31:08+00:00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