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mast diameter 150-215 mm</w:t>
      </w:r>
    </w:p>
    <w:p>
      <w:pPr>
        <w:pStyle w:val="p2Style"/>
      </w:pPr>
      <w:r>
        <w:rPr>
          <w:rStyle w:val="textStyle"/>
        </w:rPr>
        <w:t xml:space="preserve">Galvanised steel</w:t>
      </w:r>
    </w:p>
    <w:p>
      <w:pPr>
        <w:pStyle w:val="p2Style"/>
      </w:pPr>
      <w:r>
        <w:rPr>
          <w:rStyle w:val="textStyle"/>
        </w:rPr>
        <w:t xml:space="preserve">Load capacity up to max.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2026-10-03T01:37:20+00:00</dcterms:created>
  <dcterms:modified xsi:type="dcterms:W3CDTF">2026-10-03T01:37:20+00:00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