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TRM-1610M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Rekorder,16 IP Kanäle, H.265, 128Mbps, 2x SATA, 9-36VDC, M12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Mobiler Netzwerkvideorekorder</w:t>
      </w:r>
    </w:p>
    <w:p>
      <w:pPr>
        <w:pStyle w:val="p2Style"/>
      </w:pPr>
      <w:r>
        <w:rPr>
          <w:rStyle w:val="textStyle"/>
        </w:rPr>
        <w:t xml:space="preserve">Bis zu 16 Kanäle bei 12 MP unterstützt</w:t>
      </w:r>
    </w:p>
    <w:p>
      <w:pPr>
        <w:pStyle w:val="p2Style"/>
      </w:pPr>
      <w:r>
        <w:rPr>
          <w:rStyle w:val="textStyle"/>
        </w:rPr>
        <w:t xml:space="preserve">H.265-, H.264-, MJPEG-Komprimierung</w:t>
      </w:r>
    </w:p>
    <w:p>
      <w:pPr>
        <w:pStyle w:val="p2Style"/>
      </w:pPr>
      <w:r>
        <w:rPr>
          <w:rStyle w:val="textStyle"/>
        </w:rPr>
        <w:t xml:space="preserve">WiseStream-Unterstützung</w:t>
      </w:r>
    </w:p>
    <w:p>
      <w:pPr>
        <w:pStyle w:val="p2Style"/>
      </w:pPr>
      <w:r>
        <w:rPr>
          <w:rStyle w:val="textStyle"/>
        </w:rPr>
        <w:t xml:space="preserve">SUNAPI / ONVIF-Kameraaufzeichnung</w:t>
      </w:r>
    </w:p>
    <w:p>
      <w:pPr>
        <w:pStyle w:val="p2Style"/>
      </w:pPr>
      <w:r>
        <w:rPr>
          <w:rStyle w:val="textStyle"/>
        </w:rPr>
        <w:t xml:space="preserve">Max. 128 Mbit/s Aufzeichnung</w:t>
      </w:r>
    </w:p>
    <w:p>
      <w:pPr>
        <w:pStyle w:val="p2Style"/>
      </w:pPr>
      <w:r>
        <w:rPr>
          <w:rStyle w:val="textStyle"/>
        </w:rPr>
        <w:t xml:space="preserve">Plug &amp; Play mit 4 PoE / PoE+-Anschlüssen</w:t>
      </w:r>
    </w:p>
    <w:p>
      <w:pPr>
        <w:pStyle w:val="p2Style"/>
      </w:pPr>
      <w:r>
        <w:rPr>
          <w:rStyle w:val="textStyle"/>
        </w:rPr>
        <w:t xml:space="preserve">M12-Anschlussstecker</w:t>
      </w:r>
    </w:p>
    <w:p>
      <w:pPr>
        <w:pStyle w:val="p2Style"/>
      </w:pPr>
      <w:r>
        <w:rPr>
          <w:rStyle w:val="textStyle"/>
        </w:rPr>
        <w:t xml:space="preserve">2 SATA Steckplätze (Front-Swap)</w:t>
      </w:r>
    </w:p>
    <w:p>
      <w:pPr>
        <w:pStyle w:val="p2Style"/>
      </w:pPr>
      <w:r>
        <w:rPr>
          <w:rStyle w:val="textStyle"/>
        </w:rPr>
        <w:t xml:space="preserve">Max. 4 TB (SSD, nicht-RAID-Modus)</w:t>
      </w:r>
    </w:p>
    <w:p>
      <w:pPr>
        <w:pStyle w:val="p2Style"/>
      </w:pPr>
      <w:r>
        <w:rPr>
          <w:rStyle w:val="textStyle"/>
        </w:rPr>
        <w:t xml:space="preserve">Max. 2 TB (HDD, nicht-RAID-Modus)</w:t>
      </w:r>
    </w:p>
    <w:p>
      <w:pPr>
        <w:pStyle w:val="p2Style"/>
      </w:pPr>
      <w:r>
        <w:rPr>
          <w:rStyle w:val="textStyle"/>
        </w:rPr>
        <w:t xml:space="preserve">RAID 1 wird unterstützt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50155,EN 50121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8801089109262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TRM-1610M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2026-10-19T12:36:11+00:00</dcterms:created>
  <dcterms:modified xsi:type="dcterms:W3CDTF">2026-10-19T12:36:11+00:00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