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42009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21HC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F2,8/50mm Bildverarbeitungs- Objektiv 2/3", C-Anschluss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hochauflösende Farb- und S/W-Kameras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Optische Daten den Kameraspezifikationen angepasst</w:t>
      </w:r>
    </w:p>
    <w:p>
      <w:pPr>
        <w:pStyle w:val="p2Style"/>
      </w:pPr>
      <w:r>
        <w:rPr>
          <w:rStyle w:val="textStyle"/>
        </w:rPr>
        <w:t xml:space="preserve">Sehr geringe Verzeichnung (-0,12%)</w:t>
      </w:r>
    </w:p>
    <w:p>
      <w:pPr>
        <w:pStyle w:val="p2Style"/>
      </w:pPr>
      <w:r>
        <w:rPr>
          <w:rStyle w:val="textStyle"/>
        </w:rPr>
        <w:t xml:space="preserve">Hohe Auflösung und hoher Kontrastumfang</w:t>
      </w:r>
    </w:p>
    <w:p>
      <w:pPr>
        <w:pStyle w:val="p2Style"/>
      </w:pPr>
      <w:r>
        <w:rPr>
          <w:rStyle w:val="textStyle"/>
        </w:rPr>
        <w:t xml:space="preserve">Feststellschrauben für Fokus und Blende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0,44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21HC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 High Resolution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2026-05-14T08:43:17+00:00</dcterms:created>
  <dcterms:modified xsi:type="dcterms:W3CDTF">2026-05-14T08:43:17+00:00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