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 (max. 48), 4x SATA, 4x 4TB HDD, RAID 5,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5.x Core Lizenzen</w:t>
      </w:r>
    </w:p>
    <w:p>
      <w:pPr>
        <w:pStyle w:val="p2Style"/>
      </w:pPr>
      <w:r>
        <w:rPr>
          <w:rStyle w:val="textStyle"/>
        </w:rPr>
        <w:t xml:space="preserve">Erweiterung auf max. 48 Kanäle möglich</w:t>
      </w:r>
    </w:p>
    <w:p>
      <w:pPr>
        <w:pStyle w:val="p2Style"/>
      </w:pPr>
      <w:r>
        <w:rPr>
          <w:rStyle w:val="textStyle"/>
        </w:rPr>
        <w:t xml:space="preserve">384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E3-1220 v5, 4x 3.0 GHz, 8GB RAM</w:t>
      </w:r>
    </w:p>
    <w:p>
      <w:pPr>
        <w:pStyle w:val="p2Style"/>
      </w:pPr>
      <w:r>
        <w:rPr>
          <w:rStyle w:val="textStyle"/>
        </w:rPr>
        <w:t xml:space="preserve">4x 4TB Enterprise HDDs, 7200 rpm, SATA 6Gb/s</w:t>
      </w:r>
    </w:p>
    <w:p>
      <w:pPr>
        <w:pStyle w:val="p2Style"/>
      </w:pPr>
      <w:r>
        <w:rPr>
          <w:rStyle w:val="textStyle"/>
        </w:rPr>
        <w:t xml:space="preserve">Insgesamt vier HDD Steckplätze, RAID 5 ab Werk</w:t>
      </w:r>
    </w:p>
    <w:p>
      <w:pPr>
        <w:pStyle w:val="p2Style"/>
      </w:pPr>
      <w:r>
        <w:rPr>
          <w:rStyle w:val="textStyle"/>
        </w:rPr>
        <w:t xml:space="preserve">Verwendung von Cient-PC für Liveansicht empfohlen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Rackeinbaugehäuse, 19", 1 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