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R1000-4A Server - 1HE Rack-Server mit 4x Symphony Standard Lizenz + 4x Symphony Core Analytics Lizenz, 2x Intel Xeon-CPUs, ohne integrierten Speicher,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vorinstallierte Symphony 7 Standard-Lizenzen</w:t>
      </w:r>
    </w:p>
    <w:p>
      <w:pPr>
        <w:pStyle w:val="p2Style"/>
      </w:pPr>
      <w:r>
        <w:rPr>
          <w:rStyle w:val="textStyle"/>
        </w:rPr>
        <w:t xml:space="preserve">4 vorinstallierte Analyse-Lizenzen</w:t>
      </w:r>
    </w:p>
    <w:p>
      <w:pPr>
        <w:pStyle w:val="p2Style"/>
      </w:pPr>
      <w:r>
        <w:rPr>
          <w:rStyle w:val="textStyle"/>
        </w:rPr>
        <w:t xml:space="preserve">Ohne Video-Speicher</w:t>
      </w:r>
    </w:p>
    <w:p>
      <w:pPr>
        <w:pStyle w:val="p2Style"/>
      </w:pPr>
      <w:r>
        <w:rPr>
          <w:rStyle w:val="textStyle"/>
        </w:rPr>
        <w:t xml:space="preserve">19,/1HE-Gehäuse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AIM-R1000-4Ab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