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(erweiterbar bis 32)</w:t>
      </w:r>
    </w:p>
    <w:p>
      <w:pPr>
        <w:pStyle w:val="p2Style"/>
      </w:pPr>
      <w:r>
        <w:rPr>
          <w:rStyle w:val="textStyle"/>
        </w:rPr>
        <w:t xml:space="preserve">Bis zu 16 Analysekanäle</w:t>
      </w:r>
    </w:p>
    <w:p>
      <w:pPr>
        <w:pStyle w:val="p2Style"/>
      </w:pPr>
      <w:r>
        <w:rPr>
          <w:rStyle w:val="textStyle"/>
        </w:rPr>
        <w:t xml:space="preserve">8 Relaisein- und 4 -ausgang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2026-06-28T11:03:40+00:00</dcterms:created>
  <dcterms:modified xsi:type="dcterms:W3CDTF">2026-06-28T11:03:40+00:00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