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Kameras, Außen, Stahl,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Wandarme</w:t>
      </w:r>
    </w:p>
    <w:p>
      <w:pPr>
        <w:pStyle w:val="p2Style"/>
      </w:pPr>
      <w:r>
        <w:rPr>
          <w:rStyle w:val="textStyle"/>
        </w:rPr>
        <w:t xml:space="preserve">Kompatibel mit SBP-300WMW1/300WM</w:t>
      </w:r>
    </w:p>
    <w:p>
      <w:pPr>
        <w:pStyle w:val="p2Style"/>
      </w:pPr>
      <w:r>
        <w:rPr>
          <w:rStyle w:val="textStyle"/>
        </w:rPr>
        <w:t xml:space="preserve">Spannbänder im Lieferumfang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