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Wandarme</w:t>
      </w:r>
    </w:p>
    <w:p>
      <w:pPr>
        <w:pStyle w:val="p2Style"/>
      </w:pPr>
      <w:r>
        <w:rPr>
          <w:rStyle w:val="textStyle"/>
        </w:rPr>
        <w:t xml:space="preserve">Kompatibel mit SBP-300WMW1/300WM</w:t>
      </w:r>
    </w:p>
    <w:p>
      <w:pPr>
        <w:pStyle w:val="p2Style"/>
      </w:pPr>
      <w:r>
        <w:rPr>
          <w:rStyle w:val="textStyle"/>
        </w:rPr>
        <w:t xml:space="preserve">Spannbänder im Lieferumfang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2026-06-05T20:29:45+00:00</dcterms:created>
  <dcterms:modified xsi:type="dcterms:W3CDTF">2026-06-05T20:29:45+00:00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