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SBP-122HMW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Flanschplatte,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Aluminum</w:t>
      </w:r>
    </w:p>
    <w:p>
      <w:pPr>
        <w:pStyle w:val="p2Style"/>
      </w:pPr>
      <w:r>
        <w:rPr>
          <w:rStyle w:val="textStyle"/>
        </w:rPr>
        <w:t xml:space="preserve">Kompatibel mit LNV-6010R/6020R/6030R</w:t>
      </w:r>
    </w:p>
    <w:p>
      <w:pPr>
        <w:pStyle w:val="p2Style"/>
      </w:pPr>
      <w:r>
        <w:rPr>
          <w:rStyle w:val="textStyle"/>
        </w:rPr>
        <w:t xml:space="preserve">Kompatibel mit LND-6070R</w:t>
      </w:r>
    </w:p>
    <w:p>
      <w:pPr>
        <w:pStyle w:val="p2Style"/>
      </w:pPr>
      <w:r>
        <w:rPr>
          <w:rStyle w:val="textStyle"/>
        </w:rPr>
        <w:t xml:space="preserve">Kompatibel mit QND-6072R/6082R/8080R</w:t>
      </w:r>
    </w:p>
    <w:p>
      <w:pPr>
        <w:pStyle w:val="p2Style"/>
      </w:pPr>
      <w:r>
        <w:rPr>
          <w:rStyle w:val="textStyle"/>
        </w:rPr>
        <w:t xml:space="preserve">Kompatibel mit QNV-6012R/6022R/6032R</w:t>
      </w:r>
    </w:p>
    <w:p>
      <w:pPr>
        <w:pStyle w:val="p2Style"/>
      </w:pPr>
      <w:r>
        <w:rPr>
          <w:rStyle w:val="textStyle"/>
        </w:rPr>
        <w:t xml:space="preserve">Kompatibel mit QNV-8010R/8020R/8030R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SBP-122HMW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2026-09-04T11:42:07+00:00</dcterms:created>
  <dcterms:modified xsi:type="dcterms:W3CDTF">2026-09-04T11:42:07+00:00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