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Anthrazit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Kompatibel mit QNO-6012R</w:t>
      </w:r>
    </w:p>
    <w:p>
      <w:pPr>
        <w:pStyle w:val="p2Style"/>
      </w:pPr>
      <w:r>
        <w:rPr>
          <w:rStyle w:val="textStyle"/>
        </w:rPr>
        <w:t xml:space="preserve">QNO-6022R/6032R/6070R/6072R/6082R</w:t>
      </w:r>
    </w:p>
    <w:p>
      <w:pPr>
        <w:pStyle w:val="p2Style"/>
      </w:pPr>
      <w:r>
        <w:rPr>
          <w:rStyle w:val="textStyle"/>
        </w:rPr>
        <w:t xml:space="preserve">QNO-8010R/8020R/8030R</w:t>
      </w:r>
    </w:p>
    <w:p>
      <w:pPr>
        <w:pStyle w:val="p2Style"/>
      </w:pPr>
      <w:r>
        <w:rPr>
          <w:rStyle w:val="textStyle"/>
        </w:rPr>
        <w:t xml:space="preserve">QNO-7080R/7010R/7020R/7030R</w:t>
      </w:r>
    </w:p>
    <w:p>
      <w:pPr>
        <w:pStyle w:val="p2Style"/>
      </w:pPr>
      <w:r>
        <w:rPr>
          <w:rStyle w:val="textStyle"/>
        </w:rPr>
        <w:t xml:space="preserve">QNO-6010R/6020R/6030R</w:t>
      </w:r>
    </w:p>
    <w:p>
      <w:pPr>
        <w:pStyle w:val="p2Style"/>
      </w:pPr>
      <w:r>
        <w:rPr>
          <w:rStyle w:val="textStyle"/>
        </w:rPr>
        <w:t xml:space="preserve">HCO-7070R/7010R/7020R/7030R</w:t>
      </w:r>
    </w:p>
    <w:p>
      <w:pPr>
        <w:pStyle w:val="p2Style"/>
      </w:pPr>
      <w:r>
        <w:rPr>
          <w:rStyle w:val="textStyle"/>
        </w:rPr>
        <w:t xml:space="preserve">HCO-6080R/6070R</w:t>
      </w:r>
    </w:p>
    <w:p>
      <w:pPr>
        <w:pStyle w:val="p2Style"/>
      </w:pPr>
      <w:r>
        <w:rPr>
          <w:rStyle w:val="textStyle"/>
        </w:rPr>
        <w:t xml:space="preserve">SNO-L6083R/L5083R, SCO-6083R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2026-10-04T14:00:07+00:00</dcterms:created>
  <dcterms:modified xsi:type="dcterms:W3CDTF">2026-10-04T14:00:07+00:00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