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EDC-CMA2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 für EDC-IPx1/OPx1 Gehäuse und Wandarm EDC/WMB1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Aluminium Konstruktion</w:t>
      </w:r>
    </w:p>
    <w:p>
      <w:pPr>
        <w:pStyle w:val="p2Style"/>
      </w:pPr>
      <w:r>
        <w:rPr>
          <w:rStyle w:val="textStyle"/>
        </w:rPr>
        <w:t xml:space="preserve">Farbe: Pantone Cool Gray 1C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2026-10-18T13:59:38+00:00</dcterms:created>
  <dcterms:modified xsi:type="dcterms:W3CDTF">2026-10-18T13:59:38+00:00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