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T98A17-VE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T98A17-VE,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P14 (AXIS T94F01M erforderlich)</w:t>
      </w:r>
    </w:p>
    <w:p>
      <w:pPr>
        <w:pStyle w:val="p2Style"/>
      </w:pPr>
      <w:r>
        <w:rPr>
          <w:rStyle w:val="textStyle"/>
        </w:rPr>
        <w:t xml:space="preserve">Für AXIS P32-E Serie, AXIS P33-E Serie</w:t>
      </w:r>
    </w:p>
    <w:p>
      <w:pPr>
        <w:pStyle w:val="p2Style"/>
      </w:pPr>
      <w:r>
        <w:rPr>
          <w:rStyle w:val="textStyle"/>
        </w:rPr>
        <w:t xml:space="preserve">Für AXIS Q35-E Serie, AXIS Q193x-E,</w:t>
      </w:r>
    </w:p>
    <w:p>
      <w:pPr>
        <w:pStyle w:val="p2Style"/>
      </w:pPr>
      <w:r>
        <w:rPr>
          <w:rStyle w:val="textStyle"/>
        </w:rPr>
        <w:t xml:space="preserve">Für AXIS Q1765-LE, AXIS Q2901-E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2026-05-30T22:33:24+00:00</dcterms:created>
  <dcterms:modified xsi:type="dcterms:W3CDTF">2026-05-30T22:33:24+00:00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