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T98A06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für Axis M11-E, P13-E, Q16-E, Q1755-E, T92E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AXIS Q19-E, AXIS P13-E, AXIS Q17-E,</w:t>
      </w:r>
    </w:p>
    <w:p>
      <w:pPr>
        <w:pStyle w:val="p2Style"/>
      </w:pPr>
      <w:r>
        <w:rPr>
          <w:rStyle w:val="textStyle"/>
        </w:rPr>
        <w:t xml:space="preserve">AXIS M11-E, AXIS Q16-E, AXIS T92E,</w:t>
      </w:r>
    </w:p>
    <w:p>
      <w:pPr>
        <w:pStyle w:val="p2Style"/>
      </w:pPr>
      <w:r>
        <w:rPr>
          <w:rStyle w:val="textStyle"/>
        </w:rPr>
        <w:t xml:space="preserve">AXIS T93E05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2026-05-17T00:33:43+00:00</dcterms:created>
  <dcterms:modified xsi:type="dcterms:W3CDTF">2026-05-17T00:33:43+00:00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