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T94U01D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AXIS Q3505-SVE Mk II, Edelstahl,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Q3505-SVE Fixdomes</w:t>
      </w:r>
    </w:p>
    <w:p>
      <w:pPr>
        <w:pStyle w:val="p2Style"/>
      </w:pPr>
      <w:r>
        <w:rPr>
          <w:rStyle w:val="textStyle"/>
        </w:rPr>
        <w:t xml:space="preserve">Zur Montage an AXIS T91F61Wallmount</w:t>
      </w:r>
    </w:p>
    <w:p>
      <w:pPr>
        <w:pStyle w:val="p2Style"/>
      </w:pPr>
      <w:r>
        <w:rPr>
          <w:rStyle w:val="textStyle"/>
        </w:rPr>
        <w:t xml:space="preserve">Marine-grade Edelstahl (SS 316L)</w:t>
      </w:r>
    </w:p>
    <w:p>
      <w:pPr>
        <w:pStyle w:val="p2Style"/>
      </w:pPr>
      <w:r>
        <w:rPr>
          <w:rStyle w:val="textStyle"/>
        </w:rPr>
        <w:t xml:space="preserve">Hohe Korrosionsbeständigkeit</w:t>
      </w:r>
    </w:p>
    <w:p>
      <w:pPr>
        <w:pStyle w:val="p2Style"/>
      </w:pPr>
      <w:r>
        <w:rPr>
          <w:rStyle w:val="textStyle"/>
        </w:rPr>
        <w:t xml:space="preserve">Beständig gegen Salzwasser und Chemikalien</w:t>
      </w:r>
    </w:p>
    <w:p>
      <w:pPr>
        <w:pStyle w:val="p2Style"/>
      </w:pPr>
      <w:r>
        <w:rPr>
          <w:rStyle w:val="textStyle"/>
        </w:rPr>
        <w:t xml:space="preserve">Für Innen- und Außenbereich geeignet</w:t>
      </w:r>
    </w:p>
    <w:p>
      <w:pPr>
        <w:pStyle w:val="p2Style"/>
      </w:pPr>
      <w:r>
        <w:rPr>
          <w:rStyle w:val="textStyle"/>
        </w:rPr>
        <w:t xml:space="preserve">Vandalismusgeschützt nach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IK10+,MIL-STD-810G 509.5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T91F61 WALL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Außen, für AXIS Q3505-SVE MK II, Edelstahl, IK10+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2026-06-05T18:39:35+00:00</dcterms:created>
  <dcterms:modified xsi:type="dcterms:W3CDTF">2026-06-05T18:39:35+00:00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