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Verteiler und Anschlusskästen, für AXIS M30 und AXIS P14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M30- und AXIS P14-Serie</w:t>
      </w:r>
    </w:p>
    <w:p>
      <w:pPr>
        <w:pStyle w:val="p2Style"/>
      </w:pPr>
      <w:r>
        <w:rPr>
          <w:rStyle w:val="textStyle"/>
        </w:rPr>
        <w:t xml:space="preserve">RJ45-Kabelkupplung im Lieferumfang</w:t>
      </w:r>
    </w:p>
    <w:p>
      <w:pPr>
        <w:pStyle w:val="p2Style"/>
      </w:pPr>
      <w:r>
        <w:rPr>
          <w:rStyle w:val="textStyle"/>
        </w:rPr>
        <w:t xml:space="preserve">Innen- und Außenanwendung (nicht RJ45-Kuppler)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textStyle"/>
        </w:rPr>
        <w:t xml:space="preserve">Montage an AXIS T98A17-VE Schrank</w:t>
      </w:r>
    </w:p>
    <w:p>
      <w:pPr>
        <w:pStyle w:val="p2Style"/>
      </w:pPr>
      <w:r>
        <w:rPr>
          <w:rStyle w:val="textStyle"/>
        </w:rPr>
        <w:t xml:space="preserve">Montage an AXIS T94P01B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