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WALL-/POLE-MOUNT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Wand- und Mastinstallationen</w:t>
      </w:r>
    </w:p>
    <w:p>
      <w:pPr>
        <w:pStyle w:val="p2Style"/>
      </w:pPr>
      <w:r>
        <w:rPr>
          <w:rStyle w:val="textStyle"/>
        </w:rPr>
        <w:t xml:space="preserve">Flexible Installation mit Schneidklemmkontakt</w:t>
      </w:r>
    </w:p>
    <w:p>
      <w:pPr>
        <w:pStyle w:val="p2Style"/>
      </w:pPr>
      <w:r>
        <w:rPr>
          <w:rStyle w:val="textStyle"/>
        </w:rPr>
        <w:t xml:space="preserve">Integrierter RJ45-Stecker (Schutzart IP66)</w:t>
      </w:r>
    </w:p>
    <w:p>
      <w:pPr>
        <w:pStyle w:val="p2Style"/>
      </w:pPr>
      <w:r>
        <w:rPr>
          <w:rStyle w:val="textStyle"/>
        </w:rPr>
        <w:t xml:space="preserve">Geschützt gegen Wasser, Stöße, Staub und Korrosion</w:t>
      </w:r>
    </w:p>
    <w:p>
      <w:pPr>
        <w:pStyle w:val="p2Style"/>
      </w:pPr>
      <w:r>
        <w:rPr>
          <w:rStyle w:val="textStyle"/>
        </w:rPr>
        <w:t xml:space="preserve">Für Mastinstallation separate Edelstahlbänder erforderlich</w:t>
      </w:r>
    </w:p>
    <w:p>
      <w:pPr>
        <w:pStyle w:val="p2Style"/>
      </w:pPr>
      <w:r>
        <w:rPr>
          <w:rStyle w:val="textStyle"/>
        </w:rPr>
        <w:t xml:space="preserve">schlagfest, für den Einsatz im Außenbereich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