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T91A33 LIGHT TRACK MNT BLK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Retail Lichtschienen Systeme,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 an Lichtschienen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textStyle"/>
        </w:rPr>
        <w:t xml:space="preserve">Keine Bohrungen erforderlich</w:t>
      </w:r>
    </w:p>
    <w:p>
      <w:pPr>
        <w:pStyle w:val="p2Style"/>
      </w:pPr>
      <w:r>
        <w:rPr>
          <w:rStyle w:val="textStyle"/>
        </w:rPr>
        <w:t xml:space="preserve">Kompatibel mit ausgewählten Lichtschienesystemen</w:t>
      </w:r>
    </w:p>
    <w:p>
      <w:pPr>
        <w:pStyle w:val="p2Style"/>
      </w:pPr>
      <w:r>
        <w:rPr>
          <w:rStyle w:val="textStyle"/>
        </w:rPr>
        <w:t xml:space="preserve">Kompatibel mit Universal-3-Kreis-Systemen</w:t>
      </w:r>
    </w:p>
    <w:p>
      <w:pPr>
        <w:pStyle w:val="p2Style"/>
      </w:pPr>
      <w:r>
        <w:rPr>
          <w:rStyle w:val="textStyle"/>
        </w:rPr>
        <w:t xml:space="preserve">Ideal für den Einsatz im Retail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2026-08-14T11:07:35+00:00</dcterms:created>
  <dcterms:modified xsi:type="dcterms:W3CDTF">2026-08-14T11:07:35+00:00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