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Midspans und Konverter</w:t>
      </w:r>
    </w:p>
    <w:p>
      <w:pPr>
        <w:pStyle w:val="p2Style"/>
      </w:pPr>
      <w:r>
        <w:rPr>
          <w:rStyle w:val="textStyle"/>
        </w:rPr>
        <w:t xml:space="preserve">Für AXIS T8120, AXIS T8133, AXIS T8134</w:t>
      </w:r>
    </w:p>
    <w:p>
      <w:pPr>
        <w:pStyle w:val="p2Style"/>
      </w:pPr>
      <w:r>
        <w:rPr>
          <w:rStyle w:val="textStyle"/>
        </w:rPr>
        <w:t xml:space="preserve">Für AXIS T8604, AXIS T8605, AXIS T8125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Kabelbinder inklusive</w:t>
      </w:r>
    </w:p>
    <w:p>
      <w:pPr>
        <w:pStyle w:val="p2Style"/>
      </w:pPr>
      <w:r>
        <w:rPr>
          <w:rStyle w:val="textStyle"/>
        </w:rPr>
        <w:t xml:space="preserve">Set aus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2026-06-23T10:05:36+00:00</dcterms:created>
  <dcterms:modified xsi:type="dcterms:W3CDTF">2026-06-23T10:05:36+00:00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