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 DOME COVER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 Set, 1x klar, 1x getönt, mit Rahmen, weiß, für AXIS Q60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Kompatiblel mit AXIS Q6042, AXIS Q6044</w:t>
      </w:r>
    </w:p>
    <w:p>
      <w:pPr>
        <w:pStyle w:val="p2Style"/>
      </w:pPr>
      <w:r>
        <w:rPr>
          <w:rStyle w:val="textStyle"/>
        </w:rPr>
        <w:t xml:space="preserve">AXIS Q6045, AXIS Q6045 Mk II, AXIS Q6052</w:t>
      </w:r>
    </w:p>
    <w:p>
      <w:pPr>
        <w:pStyle w:val="p2Style"/>
      </w:pPr>
      <w:r>
        <w:rPr>
          <w:rStyle w:val="textStyle"/>
        </w:rPr>
        <w:t xml:space="preserve">AXIS Q6054, AXIS Q6055</w:t>
      </w:r>
    </w:p>
    <w:p>
      <w:pPr>
        <w:pStyle w:val="p2Style"/>
      </w:pPr>
      <w:r>
        <w:rPr>
          <w:rStyle w:val="textStyle"/>
        </w:rPr>
        <w:t xml:space="preserve">AXIS Q6054 Mk II, AXIS Q6054 Mk III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7331021032880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2026-10-19T13:51:24+00:00</dcterms:created>
  <dcterms:modified xsi:type="dcterms:W3CDTF">2026-10-19T13:51:24+00:00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