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SOL-IQbox-eco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mit Steckdose FI/LS, 400x300x150mm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textStyle"/>
        </w:rPr>
        <w:t xml:space="preserve">inkl. Servicesteckdose, Personenschutz</w:t>
      </w:r>
    </w:p>
    <w:p>
      <w:pPr>
        <w:pStyle w:val="p2Style"/>
      </w:pPr>
      <w:r>
        <w:rPr>
          <w:rStyle w:val="textStyle"/>
        </w:rPr>
        <w:t xml:space="preserve">Staffelpreise auf Anfrage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215019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2026-06-15T08:59:15+00:00</dcterms:created>
  <dcterms:modified xsi:type="dcterms:W3CDTF">2026-06-15T08:59:15+00:00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