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T8134 60W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Port High PoE Midspan mit 60W</w:t>
      </w:r>
    </w:p>
    <w:p>
      <w:pPr>
        <w:pStyle w:val="p2Style"/>
      </w:pPr>
      <w:r>
        <w:rPr>
          <w:rStyle w:val="textStyle"/>
        </w:rPr>
        <w:t xml:space="preserve">Kompatibel mit IEEE 802.3at und 802.3af</w:t>
      </w:r>
    </w:p>
    <w:p>
      <w:pPr>
        <w:pStyle w:val="p2Style"/>
      </w:pPr>
      <w:r>
        <w:rPr>
          <w:rStyle w:val="textStyle"/>
        </w:rPr>
        <w:t xml:space="preserve">Optionaler DIN-Clip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2026-09-09T18:05:32+00:00</dcterms:created>
  <dcterms:modified xsi:type="dcterms:W3CDTF">2026-09-09T18:05:32+00:00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