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30x20m, 50°,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30 m / ~100 ft</w:t>
      </w:r>
    </w:p>
    <w:p>
      <w:pPr>
        <w:pStyle w:val="p2Style"/>
      </w:pPr>
      <w:r>
        <w:rPr>
          <w:rStyle w:val="textStyle"/>
        </w:rPr>
        <w:t xml:space="preserve">- Nominale Reichweiten Breite: 20 m / ~65 ft</w:t>
      </w:r>
    </w:p>
    <w:p>
      <w:pPr>
        <w:pStyle w:val="p2Style"/>
      </w:pPr>
      <w:r>
        <w:rPr>
          <w:rStyle w:val="textStyle"/>
        </w:rPr>
        <w:t xml:space="preserve">- Unterkriechzonenüberwachung: -1 m to +8 m</w:t>
      </w:r>
    </w:p>
    <w:p>
      <w:pPr>
        <w:pStyle w:val="p2Style"/>
      </w:pPr>
      <w:r>
        <w:rPr>
          <w:rStyle w:val="textStyle"/>
        </w:rPr>
        <w:t xml:space="preserve">- 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 ±15%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30m x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CH10063001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2026-05-17T18:06:24+00:00</dcterms:created>
  <dcterms:modified xsi:type="dcterms:W3CDTF">2026-05-17T18:06:24+00:00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