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UBXMIN40-4KPP2-ID1PC-2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PLATINUM multi-core LED Technologie</w:t>
      </w:r>
    </w:p>
    <w:p>
      <w:pPr>
        <w:pStyle w:val="p2Style"/>
      </w:pPr>
      <w:r>
        <w:rPr>
          <w:rStyle w:val="textStyle"/>
        </w:rPr>
        <w:t xml:space="preserve">fünf Jahre Garantie</w:t>
      </w:r>
    </w:p>
    <w:p>
      <w:pPr>
        <w:pStyle w:val="p2Style"/>
      </w:pPr>
      <w:r>
        <w:rPr>
          <w:rStyle w:val="textStyle"/>
        </w:rPr>
        <w:t xml:space="preserve">Hohe Effizienz: &gt;110lm/W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UBXMIN40-4KPP2-ID1PC-2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2026-06-17T04:44:37+00:00</dcterms:created>
  <dcterms:modified xsi:type="dcterms:W3CDTF">2026-06-17T04:44:37+00:00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