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212985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TVA-1201TRP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Zweidraht Sender+Empfänger, UTP, BNC, 150m, Innen, HD TVI, AHD, CVI, CVBS, Passiv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Zweidraht Signal Übertragung über UTP-Kabel</w:t>
      </w:r>
    </w:p>
    <w:p>
      <w:pPr>
        <w:pStyle w:val="p2Style"/>
      </w:pPr>
      <w:r>
        <w:rPr>
          <w:rStyle w:val="textStyle"/>
        </w:rPr>
        <w:t xml:space="preserve">HD TVI, CVI, AHD oder CVBS Signale</w:t>
      </w:r>
    </w:p>
    <w:p>
      <w:pPr>
        <w:pStyle w:val="p2Style"/>
      </w:pPr>
      <w:r>
        <w:rPr>
          <w:rStyle w:val="textStyle"/>
        </w:rPr>
        <w:t xml:space="preserve">Bis zu 150m (Cat5e Kabel)</w:t>
      </w:r>
    </w:p>
    <w:p>
      <w:pPr>
        <w:pStyle w:val="p2Style"/>
      </w:pPr>
      <w:r>
        <w:rPr>
          <w:rStyle w:val="textStyle"/>
        </w:rPr>
        <w:t xml:space="preserve">Kein Abgleich erforderlich</w:t>
      </w:r>
    </w:p>
    <w:p>
      <w:pPr>
        <w:pStyle w:val="p2Style"/>
      </w:pPr>
      <w:r>
        <w:rPr>
          <w:rStyle w:val="textStyle"/>
        </w:rPr>
        <w:t xml:space="preserve">Anschlüsse: BNC, UTP Klemmblock</w:t>
      </w:r>
    </w:p>
    <w:p>
      <w:pPr>
        <w:pStyle w:val="p2Style"/>
      </w:pPr>
      <w:r>
        <w:rPr>
          <w:rStyle w:val="textStyle"/>
        </w:rPr>
        <w:t xml:space="preserve">Passiver Sender+Empfänger</w:t>
      </w:r>
    </w:p>
    <w:p>
      <w:pPr>
        <w:pStyle w:val="p2Style"/>
      </w:pPr>
      <w:r>
        <w:rPr>
          <w:rStyle w:val="textStyle"/>
        </w:rPr>
        <w:t xml:space="preserve">Kompakte Bauform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14,5x15,5x49,5mm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COAXIZE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T. Block (UTP)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T. Block (UTP)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212985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2024-03-28T12:31:16+00:00</dcterms:created>
  <dcterms:modified xsi:type="dcterms:W3CDTF">2024-03-28T12:31:16+00:00</dcterms:modified>
  <dc:title/>
  <dc:description/>
  <dc:subject/>
  <cp:keywords/>
  <cp:category/>
</cp:coreProperties>
</file>