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4-Bay, eSATA, 19" 1RU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Expansionseinheit mit vier Einschüben</w:t>
      </w:r>
    </w:p>
    <w:p>
      <w:pPr>
        <w:pStyle w:val="p2Style"/>
      </w:pPr>
      <w:r>
        <w:rPr>
          <w:rStyle w:val="textStyle"/>
        </w:rPr>
        <w:t xml:space="preserve">Für Volume-Erweiterung und Datensicherung</w:t>
      </w:r>
    </w:p>
    <w:p>
      <w:pPr>
        <w:pStyle w:val="p2Style"/>
      </w:pPr>
      <w:r>
        <w:rPr>
          <w:rStyle w:val="textStyle"/>
        </w:rPr>
        <w:t xml:space="preserve">Kompatibel mit RS818+, RS818RP+, RS816,</w:t>
      </w:r>
    </w:p>
    <w:p>
      <w:pPr>
        <w:pStyle w:val="p2Style"/>
      </w:pPr>
      <w:r>
        <w:rPr>
          <w:rStyle w:val="textStyle"/>
        </w:rPr>
        <w:t xml:space="preserve">RS815+, RS815RP+, RS815</w:t>
      </w:r>
    </w:p>
    <w:p>
      <w:pPr>
        <w:pStyle w:val="p2Style"/>
      </w:pPr>
      <w:r>
        <w:rPr>
          <w:rStyle w:val="textStyle"/>
        </w:rPr>
        <w:t xml:space="preserve">Nahtlose Integration im laufenden Betrieb</w:t>
      </w:r>
    </w:p>
    <w:p>
      <w:pPr>
        <w:pStyle w:val="p2Style"/>
      </w:pPr>
      <w:r>
        <w:rPr>
          <w:rStyle w:val="textStyle"/>
        </w:rPr>
        <w:t xml:space="preserve">HotSwap-HDD-Design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2026-08-15T21:55:21+00:00</dcterms:created>
  <dcterms:modified xsi:type="dcterms:W3CDTF">2026-08-15T21:55:21+00:00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