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AIM-SYM7-VA-14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7, Gesichtserkennung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Nahtlose Integration in Symphony 7</w:t>
      </w:r>
    </w:p>
    <w:p>
      <w:pPr>
        <w:pStyle w:val="p2Style"/>
      </w:pPr>
      <w:r>
        <w:rPr>
          <w:rStyle w:val="textStyle"/>
        </w:rPr>
        <w:t xml:space="preserve">Geeignet für alle Lizenzmodelle</w:t>
      </w:r>
    </w:p>
    <w:p>
      <w:pPr>
        <w:pStyle w:val="p2Style"/>
      </w:pPr>
      <w:r>
        <w:rPr>
          <w:rStyle w:val="textStyle"/>
        </w:rPr>
        <w:t xml:space="preserve">Business Intelligence</w:t>
      </w:r>
    </w:p>
    <w:p>
      <w:pPr>
        <w:pStyle w:val="p2Style"/>
      </w:pPr>
      <w:r>
        <w:rPr>
          <w:rStyle w:val="textStyle"/>
        </w:rPr>
        <w:t xml:space="preserve">Geringe Betriebskosten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AIM-SYM7-VA-14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Analytics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2026-10-25T03:46:46+00:00</dcterms:created>
  <dcterms:modified xsi:type="dcterms:W3CDTF">2026-10-25T03:46:46+00:00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