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AIM-SYM7-VA-02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7, Outdoor Personen und Fahrzeug Tracking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Nahtlose Integration in Symphony 7</w:t>
      </w:r>
    </w:p>
    <w:p>
      <w:pPr>
        <w:pStyle w:val="p2Style"/>
      </w:pPr>
      <w:r>
        <w:rPr>
          <w:rStyle w:val="textStyle"/>
        </w:rPr>
        <w:t xml:space="preserve">Geeignet für alle Lizenzmodelle</w:t>
      </w:r>
    </w:p>
    <w:p>
      <w:pPr>
        <w:pStyle w:val="p2Style"/>
      </w:pPr>
      <w:r>
        <w:rPr>
          <w:rStyle w:val="textStyle"/>
        </w:rPr>
        <w:t xml:space="preserve">Business Intelligence</w:t>
      </w:r>
    </w:p>
    <w:p>
      <w:pPr>
        <w:pStyle w:val="p2Style"/>
      </w:pPr>
      <w:r>
        <w:rPr>
          <w:rStyle w:val="textStyle"/>
        </w:rPr>
        <w:t xml:space="preserve">Geringe 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Bewegungsanalyse, Bewegungsverfolgung,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Analytics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2026-10-06T17:54:11+00:00</dcterms:created>
  <dcterms:modified xsi:type="dcterms:W3CDTF">2026-10-06T17:54:11+00:00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