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7, Kennzeichen Erkennung, KFZ, LPR, 4 Kanäle, USB-Dongle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Nahtlose Integration in Symphony</w:t>
      </w:r>
    </w:p>
    <w:p>
      <w:pPr>
        <w:pStyle w:val="p2Style"/>
      </w:pPr>
      <w:r>
        <w:rPr>
          <w:rStyle w:val="textStyle"/>
        </w:rPr>
        <w:t xml:space="preserve">Professionelle KFZ-Kennzeichenerkennung</w:t>
      </w:r>
    </w:p>
    <w:p>
      <w:pPr>
        <w:pStyle w:val="p2Style"/>
      </w:pPr>
      <w:r>
        <w:rPr>
          <w:rStyle w:val="textStyle"/>
        </w:rPr>
        <w:t xml:space="preserve">Geeignet für alle Lizenzmodelle</w:t>
      </w:r>
    </w:p>
    <w:p>
      <w:pPr>
        <w:pStyle w:val="p2Style"/>
      </w:pPr>
      <w:r>
        <w:rPr>
          <w:rStyle w:val="textStyle"/>
        </w:rPr>
        <w:t xml:space="preserve">Business Intelligence</w:t>
      </w:r>
    </w:p>
    <w:p>
      <w:pPr>
        <w:pStyle w:val="p2Style"/>
      </w:pPr>
      <w:r>
        <w:rPr>
          <w:rStyle w:val="textStyle"/>
        </w:rPr>
        <w:t xml:space="preserve">Geringe Betriebskosten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AIM-SYM7-VA-MS-1Y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AIM-SYM7-VA-MS-2Y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AIM-SYM7-VA-MS-3Y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AIM-SYM7-VA-MS-4Y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Jahre Software Maintenance, für Senstar Symphony 7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AIM-SYM7-VA-MS-5Y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Jahre Software Maintenance, für Senstar Symphony 7 Analytics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2026-07-21T08:58:32+00:00</dcterms:created>
  <dcterms:modified xsi:type="dcterms:W3CDTF">2026-07-21T08:58:32+00:00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