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VAR2-IPPOE-W8-1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47W, 10x10, 35x10, 60x25, IP66, 24V, PoE, IP-Steuerung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IP-Steuerung ber Web-Interface oder API</w:t>
      </w:r>
    </w:p>
    <w:p>
      <w:pPr>
        <w:pStyle w:val="p2Style"/>
      </w:pPr>
      <w:r>
        <w:rPr>
          <w:rStyle w:val="textStyle"/>
        </w:rPr>
        <w:t xml:space="preserve">Stromversorgung: 24VDC oder PoE+</w:t>
      </w:r>
    </w:p>
    <w:p>
      <w:pPr>
        <w:pStyle w:val="p2Style"/>
      </w:pPr>
      <w:r>
        <w:rPr>
          <w:rStyle w:val="textStyle"/>
        </w:rPr>
        <w:t xml:space="preserve">Kaltweiß6500K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Schutzart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5055877501308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VAR2-IPPOE-W8-1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2026-07-31T09:12:34+00:00</dcterms:created>
  <dcterms:modified xsi:type="dcterms:W3CDTF">2026-07-31T09:12:34+00:00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