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KFZ Kennzeichen Erkennung, IP67, 5,2-62mm,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Nummernschilderkennung optimiert</w:t>
      </w:r>
    </w:p>
    <w:p>
      <w:pPr>
        <w:pStyle w:val="p2Style"/>
      </w:pPr>
      <w:r>
        <w:rPr>
          <w:rStyle w:val="textStyle"/>
        </w:rPr>
        <w:t xml:space="preserve">Vorinstallierte ANPR Software von FF Group</w:t>
      </w:r>
    </w:p>
    <w:p>
      <w:pPr>
        <w:pStyle w:val="p2Style"/>
      </w:pPr>
      <w:r>
        <w:rPr>
          <w:rStyle w:val="textStyle"/>
        </w:rPr>
        <w:t xml:space="preserve">95% Erkennung, alle Europäischen Länder</w:t>
      </w:r>
    </w:p>
    <w:p>
      <w:pPr>
        <w:pStyle w:val="p2Style"/>
      </w:pPr>
      <w:r>
        <w:rPr>
          <w:rStyle w:val="textStyle"/>
        </w:rPr>
        <w:t xml:space="preserve">Black-/Whitelist Unterstützung, Einfache Einrichtung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XNO-6120R/FNP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X,FF Group - Lösungen zur automatischen Ereigniserkennung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2026-06-05T20:38:47+00:00</dcterms:created>
  <dcterms:modified xsi:type="dcterms:W3CDTF">2026-06-05T20:38:47+00:00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