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220331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MM051008-P0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 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Halterung für vier Monitore</w:t>
      </w:r>
    </w:p>
    <w:p>
      <w:pPr>
        <w:pStyle w:val="p2Style"/>
      </w:pPr>
      <w:r>
        <w:rPr>
          <w:rStyle w:val="textStyle"/>
        </w:rPr>
        <w:t xml:space="preserve">Monitorgröße: 19"-24"</w:t>
      </w:r>
    </w:p>
    <w:p>
      <w:pPr>
        <w:pStyle w:val="p2Style"/>
      </w:pPr>
      <w:r>
        <w:rPr>
          <w:rStyle w:val="textStyle"/>
        </w:rPr>
        <w:t xml:space="preserve">Tragfähigkeit: 10kg je Monitor, 60kg maximal</w:t>
      </w:r>
    </w:p>
    <w:p>
      <w:pPr>
        <w:pStyle w:val="p2Style"/>
      </w:pPr>
      <w:r>
        <w:rPr>
          <w:rStyle w:val="textStyle"/>
        </w:rPr>
        <w:t xml:space="preserve">Neigebereich +/-25°</w:t>
      </w:r>
    </w:p>
    <w:p>
      <w:pPr>
        <w:pStyle w:val="p2Style"/>
      </w:pPr>
      <w:r>
        <w:rPr>
          <w:rStyle w:val="textStyle"/>
        </w:rPr>
        <w:t xml:space="preserve">VESA kompatibel: 75x75mm, 100x100mm</w:t>
      </w:r>
    </w:p>
    <w:p>
      <w:pPr>
        <w:pStyle w:val="p2Style"/>
      </w:pPr>
      <w:r>
        <w:rPr>
          <w:rStyle w:val="textStyle"/>
        </w:rPr>
        <w:t xml:space="preserve">Mit Boomerang-Tischfuß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MM051008-P0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2024-03-28T20:18:22+00:00</dcterms:created>
  <dcterms:modified xsi:type="dcterms:W3CDTF">2024-03-28T20:18:22+00:00</dcterms:modified>
  <dc:title/>
  <dc:description/>
  <dc:subject/>
  <cp:keywords/>
  <cp:category/>
</cp:coreProperties>
</file>