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100kg, bis VESA 800x500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800x500mm</w:t>
      </w:r>
    </w:p>
    <w:p>
      <w:pPr>
        <w:pStyle w:val="p2Style"/>
      </w:pPr>
      <w:r>
        <w:rPr>
          <w:rStyle w:val="textStyle"/>
        </w:rPr>
        <w:t xml:space="preserve">Traglast: 100kg</w:t>
      </w:r>
    </w:p>
    <w:p>
      <w:pPr>
        <w:pStyle w:val="p2Style"/>
      </w:pPr>
      <w:r>
        <w:rPr>
          <w:rStyle w:val="textStyle"/>
        </w:rPr>
        <w:t xml:space="preserve">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LMK0301000000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2026-06-27T13:08:43+00:00</dcterms:created>
  <dcterms:modified xsi:type="dcterms:W3CDTF">2026-06-27T13:08:43+00:00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