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100kg, bis VESA 800x500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800x500mm</w:t>
      </w:r>
    </w:p>
    <w:p>
      <w:pPr>
        <w:pStyle w:val="p2Style"/>
      </w:pPr>
      <w:r>
        <w:rPr>
          <w:rStyle w:val="textStyle"/>
        </w:rPr>
        <w:t xml:space="preserve">Traglast: 100kg</w:t>
      </w:r>
    </w:p>
    <w:p>
      <w:pPr>
        <w:pStyle w:val="p2Style"/>
      </w:pPr>
      <w:r>
        <w:rPr>
          <w:rStyle w:val="textStyle"/>
        </w:rPr>
        <w:t xml:space="preserve">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LMK0301000000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2026-11-01T00:21:10+00:00</dcterms:created>
  <dcterms:modified xsi:type="dcterms:W3CDTF">2026-11-01T00:21:10+00:00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