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PoE+/ non-PoE Geräte, 16 Port, Gigabit,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PoE und non-PoE Geräte</w:t>
      </w:r>
    </w:p>
    <w:p>
      <w:pPr>
        <w:pStyle w:val="p2Style"/>
      </w:pPr>
      <w:r>
        <w:rPr>
          <w:rStyle w:val="textStyle"/>
        </w:rPr>
        <w:t xml:space="preserve">16 Kanäle</w:t>
      </w:r>
    </w:p>
    <w:p>
      <w:pPr>
        <w:pStyle w:val="p2Style"/>
      </w:pPr>
      <w:r>
        <w:rPr>
          <w:rStyle w:val="textStyle"/>
        </w:rPr>
        <w:t xml:space="preserve">Mit Gigabit Geräten kompatibel</w:t>
      </w:r>
    </w:p>
    <w:p>
      <w:pPr>
        <w:pStyle w:val="p2Style"/>
      </w:pPr>
      <w:r>
        <w:rPr>
          <w:rStyle w:val="textStyle"/>
        </w:rPr>
        <w:t xml:space="preserve">19" Rackeinbau,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IPPWR16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2026-10-19T00:39:35+00:00</dcterms:created>
  <dcterms:modified xsi:type="dcterms:W3CDTF">2026-10-19T00:39:35+00:00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