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PoE+/ non-PoE Geräte, 16 Port, Gigabit,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PoE und non-PoE Geräte</w:t>
      </w:r>
    </w:p>
    <w:p>
      <w:pPr>
        <w:pStyle w:val="p2Style"/>
      </w:pPr>
      <w:r>
        <w:rPr>
          <w:rStyle w:val="textStyle"/>
        </w:rPr>
        <w:t xml:space="preserve">16 Kanäle</w:t>
      </w:r>
    </w:p>
    <w:p>
      <w:pPr>
        <w:pStyle w:val="p2Style"/>
      </w:pPr>
      <w:r>
        <w:rPr>
          <w:rStyle w:val="textStyle"/>
        </w:rPr>
        <w:t xml:space="preserve">Mit Gigabit Geräten kompatibel</w:t>
      </w:r>
    </w:p>
    <w:p>
      <w:pPr>
        <w:pStyle w:val="p2Style"/>
      </w:pPr>
      <w:r>
        <w:rPr>
          <w:rStyle w:val="textStyle"/>
        </w:rPr>
        <w:t xml:space="preserve">19" Rackeinbau,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