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 für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Hochspannung von Blitzeinschlägen und vor Überspannungen</w:t>
      </w:r>
    </w:p>
    <w:p>
      <w:pPr>
        <w:pStyle w:val="p2Style"/>
      </w:pPr>
      <w:r>
        <w:rPr>
          <w:rStyle w:val="textStyle"/>
        </w:rPr>
        <w:t xml:space="preserve">RJ45 auf RJ45</w:t>
      </w:r>
    </w:p>
    <w:p>
      <w:pPr>
        <w:pStyle w:val="p2Style"/>
      </w:pPr>
      <w:r>
        <w:rPr>
          <w:rStyle w:val="textStyle"/>
        </w:rPr>
        <w:t xml:space="preserve">Leistungs- und Signalleitungsschutz</w:t>
      </w:r>
    </w:p>
    <w:p>
      <w:pPr>
        <w:pStyle w:val="p2Style"/>
      </w:pPr>
      <w:r>
        <w:rPr>
          <w:rStyle w:val="textStyle"/>
        </w:rPr>
        <w:t xml:space="preserve">10/100 Base-T CAT5 / CAT5e kompatibel</w:t>
      </w:r>
    </w:p>
    <w:p>
      <w:pPr>
        <w:pStyle w:val="p2Style"/>
      </w:pPr>
      <w:r>
        <w:rPr>
          <w:rStyle w:val="textStyle"/>
        </w:rPr>
        <w:t xml:space="preserve">Unterstützung Midspan PoE und Endspan PoE</w:t>
      </w:r>
    </w:p>
    <w:p>
      <w:pPr>
        <w:pStyle w:val="p2Style"/>
      </w:pPr>
      <w:r>
        <w:rPr>
          <w:rStyle w:val="textStyle"/>
        </w:rPr>
        <w:t xml:space="preserve">PoE 802.3af und 802.3at kompatibel</w:t>
      </w:r>
    </w:p>
    <w:p>
      <w:pPr>
        <w:pStyle w:val="p2Style"/>
      </w:pPr>
      <w:r>
        <w:rPr>
          <w:rStyle w:val="textStyle"/>
        </w:rPr>
        <w:t xml:space="preserve">Maximale Überspannung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2026-08-21T00:32:18+00:00</dcterms:created>
  <dcterms:modified xsi:type="dcterms:W3CDTF">2026-08-21T00:32:18+00:00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