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POE75U-1UP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Spannungssteuerung nach IEEE802.3af</w:t>
      </w:r>
    </w:p>
    <w:p>
      <w:pPr>
        <w:pStyle w:val="p2Style"/>
      </w:pPr>
      <w:r>
        <w:rPr>
          <w:rStyle w:val="textStyle"/>
        </w:rPr>
        <w:t xml:space="preserve">Proprietäre Erkennung, Trennung</w:t>
      </w:r>
    </w:p>
    <w:p>
      <w:pPr>
        <w:pStyle w:val="p2Style"/>
      </w:pPr>
      <w:r>
        <w:rPr>
          <w:rStyle w:val="textStyle"/>
        </w:rPr>
        <w:t xml:space="preserve">Proprietärer Überlastschutz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