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IP1648M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PoE Injektor, 16 Kanäle, RJ45,10/100MBit, 19", 1HE, 115/220VAC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 Kanal PoE Injector</w:t>
      </w:r>
    </w:p>
    <w:p>
      <w:pPr>
        <w:pStyle w:val="p2Style"/>
      </w:pPr>
      <w:r>
        <w:rPr>
          <w:rStyle w:val="textStyle"/>
        </w:rPr>
        <w:t xml:space="preserve">15,4W pro Kanal (IEEE802.3af)</w:t>
      </w:r>
    </w:p>
    <w:p>
      <w:pPr>
        <w:pStyle w:val="p2Style"/>
      </w:pPr>
      <w:r>
        <w:rPr>
          <w:rStyle w:val="textStyle"/>
        </w:rPr>
        <w:t xml:space="preserve">Steuerungs- und Monitoringfunktionalität</w:t>
      </w:r>
    </w:p>
    <w:p>
      <w:pPr>
        <w:pStyle w:val="p2Style"/>
      </w:pPr>
      <w:r>
        <w:rPr>
          <w:rStyle w:val="textStyle"/>
        </w:rPr>
        <w:t xml:space="preserve">LED Statusanzeige pro Kanal</w:t>
      </w:r>
    </w:p>
    <w:p>
      <w:pPr>
        <w:pStyle w:val="p2Style"/>
      </w:pPr>
      <w:r>
        <w:rPr>
          <w:rStyle w:val="textStyle"/>
        </w:rPr>
        <w:t xml:space="preserve">19" Rack Mount</w:t>
      </w:r>
    </w:p>
    <w:p>
      <w:pPr>
        <w:pStyle w:val="p2Style"/>
      </w:pPr>
      <w:r>
        <w:rPr>
          <w:rStyle w:val="textStyle"/>
        </w:rPr>
        <w:t xml:space="preserve">Belegt nur 1 Höheneinheit</w:t>
      </w:r>
    </w:p>
    <w:p>
      <w:pPr>
        <w:pStyle w:val="p2Style"/>
      </w:pPr>
      <w:r>
        <w:rPr>
          <w:rStyle w:val="textStyle"/>
        </w:rPr>
        <w:t xml:space="preserve">115/220VAC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15,4W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IP1648M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2026-07-21T07:24:10+00:00</dcterms:created>
  <dcterms:modified xsi:type="dcterms:W3CDTF">2026-07-21T07:24:10+00:00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