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MIDSPAN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Port, IEEE802.3af,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Spannungsanschlüsse erforderlich</w:t>
      </w:r>
    </w:p>
    <w:p>
      <w:pPr>
        <w:pStyle w:val="p2Style"/>
      </w:pPr>
      <w:r>
        <w:rPr>
          <w:rStyle w:val="textStyle"/>
        </w:rPr>
        <w:t xml:space="preserve">Unterbrechungsfreie Stromversorgung</w:t>
      </w:r>
    </w:p>
    <w:p>
      <w:pPr>
        <w:pStyle w:val="p2Style"/>
      </w:pPr>
      <w:r>
        <w:rPr>
          <w:rStyle w:val="textStyle"/>
        </w:rPr>
        <w:t xml:space="preserve">Geringe Installationskosten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IEEE 802.3af 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IEC-C13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 IEC-C13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2026-07-24T22:38:43+00:00</dcterms:created>
  <dcterms:modified xsi:type="dcterms:W3CDTF">2026-07-24T22:38:43+00:00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