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POE MIDSPAN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Port, IEEE802.3af,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Keine Spannungsanschlüsse erforderlich</w:t>
      </w:r>
    </w:p>
    <w:p>
      <w:pPr>
        <w:pStyle w:val="p2Style"/>
      </w:pPr>
      <w:r>
        <w:rPr>
          <w:rStyle w:val="textStyle"/>
        </w:rPr>
        <w:t xml:space="preserve">Unterbrechungsfreie Stromversorgung</w:t>
      </w:r>
    </w:p>
    <w:p>
      <w:pPr>
        <w:pStyle w:val="p2Style"/>
      </w:pPr>
      <w:r>
        <w:rPr>
          <w:rStyle w:val="textStyle"/>
        </w:rPr>
        <w:t xml:space="preserve">Geringe Installationskosten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IEEE 802.3af 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IEC-C13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 IEC-C13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2026-09-08T03:09:52+00:00</dcterms:created>
  <dcterms:modified xsi:type="dcterms:W3CDTF">2026-09-08T03:09:52+00:00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