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Kompatibel zu vielen AXIS Netzwerk-Kameras/Servern</w:t>
      </w:r>
    </w:p>
    <w:p>
      <w:pPr>
        <w:pStyle w:val="p2Style"/>
      </w:pPr>
      <w:r>
        <w:rPr>
          <w:rStyle w:val="textStyle"/>
        </w:rPr>
        <w:t xml:space="preserve">Für Installationen ohne örtliche Stromversorgung</w:t>
      </w:r>
    </w:p>
    <w:p>
      <w:pPr>
        <w:pStyle w:val="p2Style"/>
      </w:pPr>
      <w:r>
        <w:rPr>
          <w:rStyle w:val="textStyle"/>
        </w:rPr>
        <w:t xml:space="preserve">Kostengünstige Alternative für Video-Anwendungen</w:t>
      </w:r>
    </w:p>
    <w:p>
      <w:pPr>
        <w:pStyle w:val="p2Style"/>
      </w:pPr>
      <w:r>
        <w:rPr>
          <w:rStyle w:val="textStyle"/>
        </w:rPr>
        <w:t xml:space="preserve">Schnelle und einfache Montage von Security-Kameras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2026-05-30T00:48:49+00:00</dcterms:created>
  <dcterms:modified xsi:type="dcterms:W3CDTF">2026-05-30T00:48:49+00:00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