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SFP-LX/LH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MM/SM, 550m/10km, 2 Faser, LC,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Singlemode-Optik mit Multimode-Funktionalität</w:t>
      </w:r>
    </w:p>
    <w:p>
      <w:pPr>
        <w:pStyle w:val="p2Style"/>
      </w:pPr>
      <w:r>
        <w:rPr>
          <w:rStyle w:val="textStyle"/>
        </w:rPr>
        <w:t xml:space="preserve">Dadurch sehr hohe Flexibilität</w:t>
      </w:r>
    </w:p>
    <w:p>
      <w:pPr>
        <w:pStyle w:val="p2Style"/>
      </w:pPr>
      <w:r>
        <w:rPr>
          <w:rStyle w:val="textStyle"/>
        </w:rPr>
        <w:t xml:space="preserve">Reichweite in Singlemode: 10km</w:t>
      </w:r>
    </w:p>
    <w:p>
      <w:pPr>
        <w:pStyle w:val="p2Style"/>
      </w:pPr>
      <w:r>
        <w:rPr>
          <w:rStyle w:val="textStyle"/>
        </w:rPr>
        <w:t xml:space="preserve">Reichweite in Multimode: 550m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SFP-LX/LH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