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SFP-1310S10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1,25Gbps, 20km, Singlemode, 1310nm, Duplex LC Anschluss, 0°~+70°C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zu IEEE802.3z Gigabit Ethernet Standard</w:t>
      </w:r>
    </w:p>
    <w:p>
      <w:pPr>
        <w:pStyle w:val="p2Style"/>
      </w:pPr>
      <w:r>
        <w:rPr>
          <w:rStyle w:val="textStyle"/>
        </w:rPr>
        <w:t xml:space="preserve">Kompatibel zu Fibre Channel 100-SM-LC-L</w:t>
      </w:r>
    </w:p>
    <w:p>
      <w:pPr>
        <w:pStyle w:val="p2Style"/>
      </w:pPr>
      <w:r>
        <w:rPr>
          <w:rStyle w:val="textStyle"/>
        </w:rPr>
        <w:t xml:space="preserve">Industriestandard "Small Form Pluggable" (SFP) Modul</w:t>
      </w:r>
    </w:p>
    <w:p>
      <w:pPr>
        <w:pStyle w:val="p2Style"/>
      </w:pPr>
      <w:r>
        <w:rPr>
          <w:rStyle w:val="textStyle"/>
        </w:rPr>
        <w:t xml:space="preserve">Duplex LC-Anschluss, 1310nm</w:t>
      </w:r>
    </w:p>
    <w:p>
      <w:pPr>
        <w:pStyle w:val="p2Style"/>
      </w:pPr>
      <w:r>
        <w:rPr>
          <w:rStyle w:val="textStyle"/>
        </w:rPr>
        <w:t xml:space="preserve">Differenzial LVPECL Eingänge und Ausgänge</w:t>
      </w:r>
    </w:p>
    <w:p>
      <w:pPr>
        <w:pStyle w:val="p2Style"/>
      </w:pPr>
      <w:r>
        <w:rPr>
          <w:rStyle w:val="textStyle"/>
        </w:rPr>
        <w:t xml:space="preserve">Stromversorgung 3,3V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Laser Klasse 1 nach EN 60825-1</w:t>
      </w:r>
    </w:p>
    <w:p>
      <w:pPr>
        <w:pStyle w:val="p2Style"/>
      </w:pPr>
      <w:r>
        <w:rPr>
          <w:rStyle w:val="textStyle"/>
        </w:rPr>
        <w:t xml:space="preserve">Reichweite 9/125 µm SMF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2026-10-25T00:01:49+00:00</dcterms:created>
  <dcterms:modified xsi:type="dcterms:W3CDTF">2026-10-25T00:01:49+00:00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