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10BaseG-LR, 2 Faser, 300m, Singlemode, 850nm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Kompatibel mit SFP-Multi-Source-Abkommen</w:t>
      </w:r>
    </w:p>
    <w:p>
      <w:pPr>
        <w:pStyle w:val="p2Style"/>
      </w:pPr>
      <w:r>
        <w:rPr>
          <w:rStyle w:val="textStyle"/>
        </w:rPr>
        <w:t xml:space="preserve">Max. 10km Übertragungsdistanz auf Singlemode-Faser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2026-06-24T23:26:53+00:00</dcterms:created>
  <dcterms:modified xsi:type="dcterms:W3CDTF">2026-06-24T23:26:53+00:00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