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S40-2SLC-10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10BaseG-LR, 2 Faser, 300m, Singlemode, 850nm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Kompatibel mit SFP-Multi-Source-Abkommen</w:t>
      </w:r>
    </w:p>
    <w:p>
      <w:pPr>
        <w:pStyle w:val="p2Style"/>
      </w:pPr>
      <w:r>
        <w:rPr>
          <w:rStyle w:val="textStyle"/>
        </w:rPr>
        <w:t xml:space="preserve">Max. 10km Übertragungsdistanz auf Singlemode-Faser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S40-2SLC-10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2026-11-07T05:05:08+00:00</dcterms:created>
  <dcterms:modified xsi:type="dcterms:W3CDTF">2026-11-07T05:05:08+00:00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