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S20-2SLC-20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Port Fast 2 Fiber Mini GBIC Modul, Single Mode, 1310nm - 20km, 100Base-LX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Plug-and-play Installation</w:t>
      </w:r>
    </w:p>
    <w:p>
      <w:pPr>
        <w:pStyle w:val="p2Style"/>
      </w:pPr>
      <w:r>
        <w:rPr>
          <w:rStyle w:val="textStyle"/>
        </w:rPr>
        <w:t xml:space="preserve">Max. Übetragungsstrecke: 20km</w:t>
      </w:r>
    </w:p>
    <w:p>
      <w:pPr>
        <w:pStyle w:val="p2Style"/>
      </w:pPr>
      <w:r>
        <w:rPr>
          <w:rStyle w:val="textStyle"/>
        </w:rPr>
        <w:t xml:space="preserve">2-Faser Konfiguration</w:t>
      </w:r>
    </w:p>
    <w:p>
      <w:pPr>
        <w:pStyle w:val="p2Style"/>
      </w:pPr>
      <w:r>
        <w:rPr>
          <w:rStyle w:val="textStyle"/>
        </w:rPr>
        <w:t xml:space="preserve">Single Mode Übertragung</w:t>
      </w:r>
    </w:p>
    <w:p>
      <w:pPr>
        <w:pStyle w:val="p2Style"/>
      </w:pPr>
      <w:r>
        <w:rPr>
          <w:rStyle w:val="textStyle"/>
        </w:rPr>
        <w:t xml:space="preserve">Modulwechsel ohne Betriebsunterbrechung</w:t>
      </w:r>
    </w:p>
    <w:p>
      <w:pPr>
        <w:pStyle w:val="p2Style"/>
      </w:pPr>
      <w:r>
        <w:rPr>
          <w:rStyle w:val="textStyle"/>
        </w:rPr>
        <w:t xml:space="preserve">Geringe Verlustleistung</w:t>
      </w:r>
    </w:p>
    <w:p>
      <w:pPr>
        <w:pStyle w:val="p2Style"/>
      </w:pPr>
      <w:r>
        <w:rPr>
          <w:rStyle w:val="textStyle"/>
        </w:rPr>
        <w:t xml:space="preserve">RJ-45 100Mbps SFP verfügbar</w:t>
      </w:r>
    </w:p>
    <w:p>
      <w:pPr>
        <w:pStyle w:val="p2Style"/>
      </w:pPr>
      <w:r>
        <w:rPr>
          <w:rStyle w:val="textStyle"/>
        </w:rPr>
        <w:t xml:space="preserve">Mini GBIC kompatible Schnittstelle</w:t>
      </w:r>
    </w:p>
    <w:p>
      <w:pPr>
        <w:pStyle w:val="p2Style"/>
      </w:pPr>
      <w:r>
        <w:rPr>
          <w:rStyle w:val="textStyle"/>
        </w:rPr>
        <w:t xml:space="preserve">Multi-Source Agreement (MSA) kompatibel</w:t>
      </w:r>
    </w:p>
    <w:p>
      <w:pPr>
        <w:pStyle w:val="p2Style"/>
      </w:pPr>
      <w:r>
        <w:rPr>
          <w:rStyle w:val="textStyle"/>
        </w:rPr>
        <w:t xml:space="preserve">Klasse 1 Laser-Standard IEC60825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S20-2SLC-20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2026-06-24T23:35:28+00:00</dcterms:created>
  <dcterms:modified xsi:type="dcterms:W3CDTF">2026-06-24T23:35:28+00:00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