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TBL1EU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Lock, Hardware für Ferneinwahl, Netzkabel mit EU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Hardware zur Ferneinwahl in entfernte lokale Netze</w:t>
      </w:r>
    </w:p>
    <w:p>
      <w:pPr>
        <w:pStyle w:val="p2Style"/>
      </w:pPr>
      <w:r>
        <w:rPr>
          <w:rStyle w:val="textStyle"/>
        </w:rPr>
        <w:t xml:space="preserve">Einfache Plug&amp;Play Konfiguration</w:t>
      </w:r>
    </w:p>
    <w:p>
      <w:pPr>
        <w:pStyle w:val="p2Style"/>
      </w:pPr>
      <w:r>
        <w:rPr>
          <w:rStyle w:val="textStyle"/>
        </w:rPr>
        <w:t xml:space="preserve">Schnelle Inbetriebnahme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128-Bit verschlüsselte VPN-Verbindung</w:t>
      </w:r>
    </w:p>
    <w:p>
      <w:pPr>
        <w:pStyle w:val="p2Style"/>
      </w:pPr>
      <w:r>
        <w:rPr>
          <w:rStyle w:val="textStyle"/>
        </w:rPr>
        <w:t xml:space="preserve">Sehr flexibel einsetzbar</w:t>
      </w:r>
    </w:p>
    <w:p>
      <w:pPr>
        <w:pStyle w:val="p2Style"/>
      </w:pPr>
      <w:r>
        <w:rPr>
          <w:rStyle w:val="textStyle"/>
        </w:rPr>
        <w:t xml:space="preserve">Leicht skalierbar</w:t>
      </w:r>
    </w:p>
    <w:p>
      <w:pPr>
        <w:pStyle w:val="p2Style"/>
      </w:pPr>
      <w:r>
        <w:rPr>
          <w:rStyle w:val="textStyle"/>
        </w:rPr>
        <w:t xml:space="preserve">Mit jeder Internetverbindung verwendbar</w:t>
      </w:r>
    </w:p>
    <w:p>
      <w:pPr>
        <w:pStyle w:val="p2Style"/>
      </w:pPr>
      <w:r>
        <w:rPr>
          <w:rStyle w:val="textStyle"/>
        </w:rPr>
        <w:t xml:space="preserve">Kein USB Dongle TBK1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 Hardware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Bandbreite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150Mbps (theoretisch)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Verschlüsselung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WEP, WPA-EAP, WPA-PSK, WPA2-EAP, WPA2-PSK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TBL1EU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2026-07-21T07:16:33+00:00</dcterms:created>
  <dcterms:modified xsi:type="dcterms:W3CDTF">2026-07-21T07:16:33+00:00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