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MC250-4T/2S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Industrial, 4-Port Ethernet to SFP, 4x10/100 Mbps, 2x SFP 100FX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4-Port Ethernet zu 2-Port SFP Mediakonverter</w:t>
      </w:r>
    </w:p>
    <w:p>
      <w:pPr>
        <w:pStyle w:val="p2Style"/>
      </w:pPr>
      <w:r>
        <w:rPr>
          <w:rStyle w:val="textStyle"/>
        </w:rPr>
        <w:t xml:space="preserve">4 RJ-45 Ports 10/100Base-TX</w:t>
      </w:r>
    </w:p>
    <w:p>
      <w:pPr>
        <w:pStyle w:val="p2Style"/>
      </w:pPr>
      <w:r>
        <w:rPr>
          <w:rStyle w:val="textStyle"/>
        </w:rPr>
        <w:t xml:space="preserve">Auto MDI/MDI-X</w:t>
      </w:r>
    </w:p>
    <w:p>
      <w:pPr>
        <w:pStyle w:val="p2Style"/>
      </w:pPr>
      <w:r>
        <w:rPr>
          <w:rStyle w:val="textStyle"/>
        </w:rPr>
        <w:t xml:space="preserve">Autonegotiation</w:t>
      </w:r>
    </w:p>
    <w:p>
      <w:pPr>
        <w:pStyle w:val="p2Style"/>
      </w:pPr>
      <w:r>
        <w:rPr>
          <w:rStyle w:val="textStyle"/>
        </w:rPr>
        <w:t xml:space="preserve">2 SFP Ports Drop and Repeat</w:t>
      </w:r>
    </w:p>
    <w:p>
      <w:pPr>
        <w:pStyle w:val="p2Style"/>
      </w:pPr>
      <w:r>
        <w:rPr>
          <w:rStyle w:val="textStyle"/>
        </w:rPr>
        <w:t xml:space="preserve">Store&amp;Forward-Switching-Architektur</w:t>
      </w:r>
    </w:p>
    <w:p>
      <w:pPr>
        <w:pStyle w:val="p2Style"/>
      </w:pPr>
      <w:r>
        <w:rPr>
          <w:rStyle w:val="textStyle"/>
        </w:rPr>
        <w:t xml:space="preserve">LED Anzeigen für Netzwerkdiagnose</w:t>
      </w:r>
    </w:p>
    <w:p>
      <w:pPr>
        <w:pStyle w:val="p2Style"/>
      </w:pPr>
      <w:r>
        <w:rPr>
          <w:rStyle w:val="textStyle"/>
        </w:rPr>
        <w:t xml:space="preserve">DIN Rail- oder Wandmontage</w:t>
      </w:r>
    </w:p>
    <w:p>
      <w:pPr>
        <w:pStyle w:val="p2Style"/>
      </w:pPr>
      <w:r>
        <w:rPr>
          <w:rStyle w:val="textStyle"/>
        </w:rPr>
        <w:t xml:space="preserve">Alarm Ausgang im Falle von Spannungsverlust</w:t>
      </w:r>
    </w:p>
    <w:p>
      <w:pPr>
        <w:pStyle w:val="p2Style"/>
      </w:pPr>
      <w:r>
        <w:rPr>
          <w:rStyle w:val="textStyle"/>
        </w:rPr>
        <w:t xml:space="preserve">Robustes, schmales IP30 Metallgehäuse</w:t>
      </w:r>
    </w:p>
    <w:p>
      <w:pPr>
        <w:pStyle w:val="p2Style"/>
      </w:pPr>
      <w:r>
        <w:rPr>
          <w:rStyle w:val="textStyle"/>
        </w:rPr>
        <w:t xml:space="preserve">Betriebstemperatur -40°C ~ +75°C</w:t>
      </w:r>
    </w:p>
    <w:p>
      <w:pPr>
        <w:pStyle w:val="p2Style"/>
      </w:pPr>
      <w:r>
        <w:rPr>
          <w:rStyle w:val="textStyle"/>
        </w:rPr>
        <w:t xml:space="preserve">Betriebsspannung 12-48VDC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MC250-4T/2S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2km, für hohe Temp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2026-05-10T20:39:11+00:00</dcterms:created>
  <dcterms:modified xsi:type="dcterms:W3CDTF">2026-05-10T20:39:11+00:00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