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MC201-1P/1FS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100FX Single Mode nach 10/100TX, 1 Port, PoE Injektor, 15,4W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Glasfaser zu Ethernet Mediakonverter</w:t>
      </w:r>
    </w:p>
    <w:p>
      <w:pPr>
        <w:pStyle w:val="p2Style"/>
      </w:pPr>
      <w:r>
        <w:rPr>
          <w:rStyle w:val="textStyle"/>
        </w:rPr>
        <w:t xml:space="preserve">Mit PoE Injector (IEEE 802.3af)</w:t>
      </w:r>
    </w:p>
    <w:p>
      <w:pPr>
        <w:pStyle w:val="p2Style"/>
      </w:pPr>
      <w:r>
        <w:rPr>
          <w:rStyle w:val="textStyle"/>
        </w:rPr>
        <w:t xml:space="preserve">Ethernet 10/100Base-TX</w:t>
      </w:r>
    </w:p>
    <w:p>
      <w:pPr>
        <w:pStyle w:val="p2Style"/>
      </w:pPr>
      <w:r>
        <w:rPr>
          <w:rStyle w:val="textStyle"/>
        </w:rPr>
        <w:t xml:space="preserve">Glasfaser 100Base-FX</w:t>
      </w:r>
    </w:p>
    <w:p>
      <w:pPr>
        <w:pStyle w:val="p2Style"/>
      </w:pPr>
      <w:r>
        <w:rPr>
          <w:rStyle w:val="textStyle"/>
        </w:rPr>
        <w:t xml:space="preserve">Single Mode (9/125µm)</w:t>
      </w:r>
    </w:p>
    <w:p>
      <w:pPr>
        <w:pStyle w:val="p2Style"/>
      </w:pPr>
      <w:r>
        <w:rPr>
          <w:rStyle w:val="textStyle"/>
        </w:rPr>
        <w:t xml:space="preserve">Reichweite 15 km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Zeitsparende Plug&amp;Play-Installation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MC201-1P/1FS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