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ER16200C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16-Kanal Etherstretch Lyte, Empfänger, 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100Mb/s und PoE über Koaxialkabel</w:t>
      </w:r>
    </w:p>
    <w:p>
      <w:pPr>
        <w:pStyle w:val="p2Style"/>
      </w:pPr>
      <w:r>
        <w:rPr>
          <w:rStyle w:val="textStyle"/>
        </w:rPr>
        <w:t xml:space="preserve">Strecken bis zu 350 Meter (RG59)</w:t>
      </w:r>
    </w:p>
    <w:p>
      <w:pPr>
        <w:pStyle w:val="p2Style"/>
      </w:pPr>
      <w:r>
        <w:rPr>
          <w:rStyle w:val="textStyle"/>
        </w:rPr>
        <w:t xml:space="preserve">Für alle IP-Geräte geeignet</w:t>
      </w:r>
    </w:p>
    <w:p>
      <w:pPr>
        <w:pStyle w:val="p2Style"/>
      </w:pPr>
      <w:r>
        <w:rPr>
          <w:rStyle w:val="textStyle"/>
        </w:rPr>
        <w:t xml:space="preserve">Eingang mit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+52°C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00661955162009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ER16200C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Etherstretch Lyte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2026-08-10T02:14:34+00:00</dcterms:created>
  <dcterms:modified xsi:type="dcterms:W3CDTF">2026-08-10T02:14:34+00:00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